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400EF">
      <w:pPr>
        <w:snapToGrid w:val="0"/>
        <w:spacing w:line="360" w:lineRule="auto"/>
        <w:jc w:val="center"/>
        <w:outlineLvl w:val="0"/>
        <w:rPr>
          <w:rFonts w:ascii="方正小标宋_GBK" w:eastAsia="方正小标宋_GBK"/>
          <w:b/>
          <w:sz w:val="84"/>
          <w:szCs w:val="84"/>
        </w:rPr>
      </w:pPr>
      <w:r>
        <w:drawing>
          <wp:inline distT="0" distB="0" distL="0" distR="0">
            <wp:extent cx="1592580" cy="1569720"/>
            <wp:effectExtent l="19050" t="0" r="7620" b="0"/>
            <wp:docPr id="1" name="图片 1" descr="267f9e2f0708283861917bddb199a9014d08f1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7f9e2f0708283861917bddb199a9014d08f15f"/>
                    <pic:cNvPicPr>
                      <a:picLocks noChangeAspect="1" noChangeArrowheads="1"/>
                    </pic:cNvPicPr>
                  </pic:nvPicPr>
                  <pic:blipFill>
                    <a:blip r:embed="rId10"/>
                    <a:srcRect/>
                    <a:stretch>
                      <a:fillRect/>
                    </a:stretch>
                  </pic:blipFill>
                  <pic:spPr>
                    <a:xfrm>
                      <a:off x="0" y="0"/>
                      <a:ext cx="1592580" cy="1569720"/>
                    </a:xfrm>
                    <a:prstGeom prst="rect">
                      <a:avLst/>
                    </a:prstGeom>
                    <a:noFill/>
                    <a:ln w="9525" cmpd="sng">
                      <a:noFill/>
                      <a:miter lim="800000"/>
                      <a:headEnd/>
                      <a:tailEnd/>
                    </a:ln>
                  </pic:spPr>
                </pic:pic>
              </a:graphicData>
            </a:graphic>
          </wp:inline>
        </w:drawing>
      </w:r>
    </w:p>
    <w:p w14:paraId="78423533">
      <w:pPr>
        <w:snapToGrid w:val="0"/>
        <w:spacing w:line="240" w:lineRule="atLeast"/>
        <w:jc w:val="center"/>
        <w:outlineLvl w:val="0"/>
        <w:rPr>
          <w:rFonts w:ascii="方正小标宋_GBK" w:eastAsia="方正小标宋_GBK"/>
          <w:b/>
          <w:sz w:val="84"/>
          <w:szCs w:val="84"/>
        </w:rPr>
      </w:pPr>
      <w:r>
        <w:rPr>
          <w:rFonts w:hint="eastAsia" w:ascii="方正小标宋_GBK" w:eastAsia="方正小标宋_GBK"/>
          <w:b/>
          <w:sz w:val="84"/>
          <w:szCs w:val="84"/>
        </w:rPr>
        <w:t>海南师范大学</w:t>
      </w:r>
    </w:p>
    <w:p w14:paraId="4791F72A">
      <w:pPr>
        <w:snapToGrid w:val="0"/>
        <w:spacing w:line="240" w:lineRule="atLeast"/>
        <w:jc w:val="center"/>
        <w:outlineLvl w:val="0"/>
        <w:rPr>
          <w:rFonts w:ascii="方正小标宋_GBK" w:eastAsia="方正小标宋_GBK"/>
          <w:b/>
          <w:sz w:val="84"/>
          <w:szCs w:val="84"/>
        </w:rPr>
      </w:pPr>
      <w:r>
        <w:rPr>
          <w:rFonts w:hint="eastAsia" w:ascii="方正小标宋_GBK" w:eastAsia="方正小标宋_GBK"/>
          <w:b/>
          <w:sz w:val="84"/>
          <w:szCs w:val="84"/>
        </w:rPr>
        <w:t>货物采购合同书</w:t>
      </w:r>
    </w:p>
    <w:p w14:paraId="1BBFED05">
      <w:pPr>
        <w:snapToGrid w:val="0"/>
        <w:spacing w:line="240" w:lineRule="atLeast"/>
        <w:jc w:val="center"/>
        <w:outlineLvl w:val="0"/>
        <w:rPr>
          <w:rFonts w:ascii="黑体" w:hAnsi="黑体" w:eastAsia="黑体"/>
          <w:b/>
          <w:sz w:val="36"/>
          <w:szCs w:val="84"/>
        </w:rPr>
      </w:pPr>
      <w:r>
        <w:rPr>
          <w:rFonts w:hint="eastAsia" w:ascii="黑体" w:hAnsi="黑体" w:eastAsia="黑体"/>
          <w:b/>
          <w:sz w:val="36"/>
          <w:szCs w:val="84"/>
        </w:rPr>
        <w:t>（进口</w:t>
      </w:r>
      <w:r>
        <w:rPr>
          <w:rFonts w:hint="eastAsia" w:ascii="黑体" w:hAnsi="黑体" w:eastAsia="黑体"/>
          <w:b/>
          <w:sz w:val="36"/>
          <w:szCs w:val="84"/>
          <w:lang w:eastAsia="zh-CN"/>
        </w:rPr>
        <w:t>货物</w:t>
      </w:r>
      <w:r>
        <w:rPr>
          <w:rFonts w:hint="eastAsia" w:ascii="黑体" w:hAnsi="黑体" w:eastAsia="黑体"/>
          <w:b/>
          <w:sz w:val="36"/>
          <w:szCs w:val="84"/>
        </w:rPr>
        <w:t>设备专用）</w:t>
      </w:r>
    </w:p>
    <w:p w14:paraId="5E4CF652">
      <w:pPr>
        <w:snapToGrid w:val="0"/>
        <w:spacing w:line="240" w:lineRule="atLeast"/>
        <w:jc w:val="center"/>
        <w:outlineLvl w:val="0"/>
        <w:rPr>
          <w:rFonts w:ascii="方正小标宋_GBK" w:eastAsia="方正小标宋_GBK"/>
          <w:b/>
          <w:sz w:val="84"/>
          <w:szCs w:val="84"/>
        </w:rPr>
      </w:pPr>
    </w:p>
    <w:p w14:paraId="0556621E">
      <w:pPr>
        <w:snapToGrid w:val="0"/>
        <w:spacing w:line="240" w:lineRule="atLeast"/>
        <w:jc w:val="center"/>
        <w:outlineLvl w:val="0"/>
        <w:rPr>
          <w:rFonts w:ascii="方正小标宋_GBK" w:eastAsia="方正小标宋_GBK"/>
          <w:b/>
          <w:sz w:val="84"/>
          <w:szCs w:val="84"/>
        </w:rPr>
      </w:pPr>
    </w:p>
    <w:p w14:paraId="6C519AAA">
      <w:pPr>
        <w:snapToGrid w:val="0"/>
        <w:spacing w:line="240" w:lineRule="atLeast"/>
        <w:jc w:val="center"/>
        <w:outlineLvl w:val="0"/>
        <w:rPr>
          <w:rFonts w:ascii="方正小标宋_GBK" w:eastAsia="方正小标宋_GBK"/>
          <w:b/>
          <w:sz w:val="84"/>
          <w:szCs w:val="84"/>
        </w:rPr>
      </w:pPr>
    </w:p>
    <w:p w14:paraId="668C2D60">
      <w:pPr>
        <w:snapToGrid w:val="0"/>
        <w:spacing w:line="360" w:lineRule="auto"/>
        <w:ind w:firstLine="640" w:firstLineChars="200"/>
        <w:jc w:val="left"/>
        <w:outlineLvl w:val="0"/>
        <w:rPr>
          <w:rFonts w:ascii="方正小标宋_GBK" w:eastAsia="方正小标宋_GBK"/>
          <w:b/>
          <w:sz w:val="32"/>
          <w:szCs w:val="32"/>
        </w:rPr>
      </w:pPr>
      <w:r>
        <w:rPr>
          <w:rFonts w:hint="eastAsia" w:ascii="方正小标宋_GBK" w:eastAsia="方正小标宋_GBK"/>
          <w:b/>
          <w:sz w:val="32"/>
          <w:szCs w:val="32"/>
        </w:rPr>
        <w:t>项目名称：</w:t>
      </w:r>
    </w:p>
    <w:p w14:paraId="26F1F4F8">
      <w:pPr>
        <w:snapToGrid w:val="0"/>
        <w:spacing w:line="360" w:lineRule="auto"/>
        <w:ind w:firstLine="640" w:firstLineChars="200"/>
        <w:jc w:val="left"/>
        <w:outlineLvl w:val="0"/>
        <w:rPr>
          <w:rFonts w:ascii="方正小标宋_GBK" w:eastAsia="方正小标宋_GBK"/>
          <w:b/>
          <w:sz w:val="32"/>
          <w:szCs w:val="32"/>
        </w:rPr>
      </w:pPr>
      <w:r>
        <w:rPr>
          <w:rFonts w:hint="eastAsia" w:ascii="方正小标宋_GBK" w:eastAsia="方正小标宋_GBK"/>
          <w:b/>
          <w:sz w:val="32"/>
          <w:szCs w:val="32"/>
        </w:rPr>
        <w:t>项目编号：</w:t>
      </w:r>
    </w:p>
    <w:p w14:paraId="29B499E9">
      <w:pPr>
        <w:snapToGrid w:val="0"/>
        <w:spacing w:line="360" w:lineRule="auto"/>
        <w:ind w:firstLine="640" w:firstLineChars="200"/>
        <w:jc w:val="left"/>
        <w:outlineLvl w:val="0"/>
        <w:rPr>
          <w:rFonts w:ascii="方正小标宋_GBK" w:eastAsia="方正小标宋_GBK"/>
          <w:b/>
          <w:sz w:val="32"/>
          <w:szCs w:val="32"/>
        </w:rPr>
      </w:pPr>
      <w:r>
        <w:rPr>
          <w:rFonts w:hint="eastAsia" w:ascii="方正小标宋_GBK" w:eastAsia="方正小标宋_GBK"/>
          <w:b/>
          <w:sz w:val="32"/>
          <w:szCs w:val="32"/>
        </w:rPr>
        <w:t>合同编号：</w:t>
      </w:r>
    </w:p>
    <w:p w14:paraId="21658E0C">
      <w:pPr>
        <w:snapToGrid w:val="0"/>
        <w:spacing w:line="360" w:lineRule="auto"/>
        <w:ind w:firstLine="640" w:firstLineChars="200"/>
        <w:jc w:val="left"/>
        <w:outlineLvl w:val="0"/>
        <w:rPr>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rtlGutter w:val="1"/>
          <w:docGrid w:type="linesAndChars" w:linePitch="312" w:charSpace="0"/>
        </w:sectPr>
      </w:pPr>
      <w:r>
        <w:rPr>
          <w:rFonts w:hint="eastAsia" w:ascii="方正小标宋_GBK" w:eastAsia="方正小标宋_GBK"/>
          <w:b/>
          <w:sz w:val="32"/>
          <w:szCs w:val="32"/>
        </w:rPr>
        <w:t>签订日期：</w:t>
      </w:r>
    </w:p>
    <w:p w14:paraId="4C96BFE2">
      <w:pPr>
        <w:snapToGrid w:val="0"/>
        <w:spacing w:line="560" w:lineRule="exact"/>
        <w:ind w:firstLine="441" w:firstLineChars="147"/>
        <w:rPr>
          <w:rFonts w:ascii="黑体" w:hAnsi="黑体" w:eastAsia="黑体"/>
          <w:color w:val="000000"/>
          <w:sz w:val="30"/>
          <w:szCs w:val="30"/>
          <w:u w:val="single"/>
        </w:rPr>
      </w:pPr>
      <w:r>
        <w:rPr>
          <w:rFonts w:hint="eastAsia" w:ascii="黑体" w:hAnsi="黑体" w:eastAsia="黑体"/>
          <w:color w:val="000000"/>
          <w:sz w:val="30"/>
          <w:szCs w:val="30"/>
        </w:rPr>
        <w:t>甲方（采购人）：</w:t>
      </w:r>
      <w:r>
        <w:rPr>
          <w:rFonts w:hint="eastAsia" w:ascii="黑体" w:hAnsi="黑体" w:eastAsia="黑体"/>
          <w:color w:val="000000"/>
          <w:sz w:val="30"/>
          <w:szCs w:val="30"/>
          <w:u w:val="single"/>
        </w:rPr>
        <w:t xml:space="preserve">  海南师范大学  </w:t>
      </w:r>
    </w:p>
    <w:p w14:paraId="51AB5276">
      <w:pPr>
        <w:snapToGrid w:val="0"/>
        <w:spacing w:line="560" w:lineRule="exact"/>
        <w:ind w:firstLine="441" w:firstLineChars="147"/>
        <w:rPr>
          <w:rFonts w:ascii="仿宋_GB2312" w:hAnsi="宋体" w:eastAsia="仿宋_GB2312"/>
          <w:color w:val="000000"/>
          <w:sz w:val="30"/>
          <w:szCs w:val="30"/>
          <w:u w:val="single"/>
        </w:rPr>
      </w:pPr>
      <w:r>
        <w:rPr>
          <w:rFonts w:hint="eastAsia" w:ascii="仿宋_GB2312" w:hAnsi="宋体" w:eastAsia="仿宋_GB2312"/>
          <w:color w:val="000000"/>
          <w:sz w:val="30"/>
          <w:szCs w:val="30"/>
        </w:rPr>
        <w:t>地址：</w:t>
      </w:r>
      <w:r>
        <w:rPr>
          <w:rFonts w:hint="eastAsia" w:ascii="仿宋_GB2312" w:hAnsi="宋体" w:eastAsia="仿宋_GB2312"/>
          <w:color w:val="000000"/>
          <w:sz w:val="30"/>
          <w:szCs w:val="30"/>
          <w:u w:val="single"/>
        </w:rPr>
        <w:t>海口市琼山区龙昆南路99号</w:t>
      </w:r>
    </w:p>
    <w:p w14:paraId="24ED5841">
      <w:pPr>
        <w:snapToGrid w:val="0"/>
        <w:spacing w:line="560" w:lineRule="exact"/>
        <w:ind w:firstLine="441" w:firstLineChars="147"/>
        <w:rPr>
          <w:rFonts w:ascii="仿宋_GB2312" w:hAnsi="宋体" w:eastAsia="仿宋_GB2312"/>
          <w:color w:val="000000"/>
          <w:sz w:val="30"/>
          <w:szCs w:val="30"/>
        </w:rPr>
      </w:pPr>
    </w:p>
    <w:p w14:paraId="7BF99075">
      <w:pPr>
        <w:snapToGrid w:val="0"/>
        <w:spacing w:line="560" w:lineRule="exact"/>
        <w:ind w:firstLine="441" w:firstLineChars="147"/>
        <w:rPr>
          <w:rFonts w:ascii="黑体" w:hAnsi="黑体" w:eastAsia="黑体"/>
          <w:color w:val="000000"/>
          <w:sz w:val="30"/>
          <w:szCs w:val="30"/>
        </w:rPr>
      </w:pPr>
      <w:r>
        <w:rPr>
          <w:rFonts w:hint="eastAsia" w:ascii="黑体" w:hAnsi="黑体" w:eastAsia="黑体"/>
          <w:color w:val="000000"/>
          <w:sz w:val="30"/>
          <w:szCs w:val="30"/>
        </w:rPr>
        <w:t>乙方（成交供应商）：</w:t>
      </w:r>
      <w:r>
        <w:rPr>
          <w:rFonts w:hint="eastAsia" w:ascii="黑体" w:hAnsi="黑体" w:eastAsia="黑体"/>
          <w:color w:val="000000"/>
          <w:sz w:val="30"/>
          <w:szCs w:val="30"/>
          <w:u w:val="single"/>
        </w:rPr>
        <w:t xml:space="preserve">                     </w:t>
      </w:r>
    </w:p>
    <w:p w14:paraId="2AA59D14">
      <w:pPr>
        <w:snapToGrid w:val="0"/>
        <w:spacing w:line="560" w:lineRule="exact"/>
        <w:ind w:firstLine="441" w:firstLineChars="147"/>
        <w:rPr>
          <w:rFonts w:ascii="仿宋_GB2312" w:hAnsi="宋体" w:eastAsia="仿宋_GB2312"/>
          <w:color w:val="000000"/>
          <w:sz w:val="30"/>
          <w:szCs w:val="30"/>
        </w:rPr>
      </w:pPr>
      <w:r>
        <w:rPr>
          <w:rFonts w:hint="eastAsia" w:ascii="仿宋_GB2312" w:hAnsi="宋体" w:eastAsia="仿宋_GB2312"/>
          <w:color w:val="000000"/>
          <w:sz w:val="30"/>
          <w:szCs w:val="30"/>
        </w:rPr>
        <w:t>地址：</w:t>
      </w:r>
      <w:r>
        <w:rPr>
          <w:rFonts w:hint="eastAsia" w:ascii="仿宋_GB2312" w:hAnsi="宋体" w:eastAsia="仿宋_GB2312"/>
          <w:color w:val="000000"/>
          <w:sz w:val="30"/>
          <w:szCs w:val="30"/>
          <w:u w:val="single"/>
        </w:rPr>
        <w:t xml:space="preserve">                                  </w:t>
      </w:r>
    </w:p>
    <w:p w14:paraId="0CAF1511">
      <w:pPr>
        <w:snapToGrid w:val="0"/>
        <w:spacing w:line="560" w:lineRule="exact"/>
        <w:ind w:firstLine="600" w:firstLineChars="200"/>
        <w:rPr>
          <w:rFonts w:ascii="仿宋_GB2312" w:hAnsi="宋体" w:eastAsia="仿宋_GB2312"/>
          <w:color w:val="000000"/>
          <w:sz w:val="30"/>
          <w:szCs w:val="30"/>
        </w:rPr>
      </w:pPr>
    </w:p>
    <w:p w14:paraId="4FDB754C">
      <w:pPr>
        <w:snapToGrid w:val="0"/>
        <w:spacing w:line="560" w:lineRule="exact"/>
        <w:ind w:firstLine="441" w:firstLineChars="147"/>
        <w:rPr>
          <w:rFonts w:ascii="黑体" w:hAnsi="黑体" w:eastAsia="黑体"/>
          <w:color w:val="000000"/>
          <w:sz w:val="30"/>
          <w:szCs w:val="30"/>
        </w:rPr>
      </w:pPr>
      <w:r>
        <w:rPr>
          <w:rFonts w:hint="eastAsia" w:ascii="黑体" w:hAnsi="黑体" w:eastAsia="黑体"/>
          <w:color w:val="000000"/>
          <w:sz w:val="30"/>
          <w:szCs w:val="30"/>
        </w:rPr>
        <w:t>丙方（外贸代理服务机构）：</w:t>
      </w:r>
      <w:r>
        <w:rPr>
          <w:rFonts w:hint="eastAsia" w:ascii="黑体" w:hAnsi="黑体" w:eastAsia="黑体"/>
          <w:color w:val="000000"/>
          <w:sz w:val="30"/>
          <w:szCs w:val="30"/>
          <w:u w:val="single"/>
        </w:rPr>
        <w:t xml:space="preserve">                     </w:t>
      </w:r>
    </w:p>
    <w:p w14:paraId="713D9DE8">
      <w:pPr>
        <w:ind w:firstLine="450" w:firstLineChars="150"/>
        <w:rPr>
          <w:rFonts w:ascii="黑体" w:hAnsi="黑体" w:eastAsia="黑体"/>
          <w:color w:val="000000"/>
          <w:sz w:val="30"/>
          <w:szCs w:val="30"/>
        </w:rPr>
      </w:pPr>
      <w:r>
        <w:rPr>
          <w:rFonts w:hint="eastAsia" w:ascii="仿宋_GB2312" w:hAnsi="宋体" w:eastAsia="仿宋_GB2312"/>
          <w:color w:val="000000"/>
          <w:sz w:val="30"/>
          <w:szCs w:val="30"/>
        </w:rPr>
        <w:t>地址：</w:t>
      </w:r>
      <w:r>
        <w:rPr>
          <w:rFonts w:hint="eastAsia" w:ascii="仿宋_GB2312" w:hAnsi="宋体" w:eastAsia="仿宋_GB2312"/>
          <w:color w:val="000000"/>
          <w:sz w:val="30"/>
          <w:szCs w:val="30"/>
          <w:u w:val="single"/>
        </w:rPr>
        <w:t xml:space="preserve">                                  </w:t>
      </w:r>
    </w:p>
    <w:p w14:paraId="50C4B71E">
      <w:pPr>
        <w:snapToGrid w:val="0"/>
        <w:spacing w:line="560" w:lineRule="exact"/>
        <w:ind w:firstLine="600" w:firstLineChars="200"/>
        <w:rPr>
          <w:rFonts w:ascii="仿宋_GB2312" w:hAnsi="宋体" w:eastAsia="仿宋_GB2312"/>
          <w:color w:val="000000"/>
          <w:sz w:val="30"/>
          <w:szCs w:val="30"/>
        </w:rPr>
      </w:pPr>
    </w:p>
    <w:p w14:paraId="45FA52D3">
      <w:pPr>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乙方于</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日参加了海南师范大学组织的</w:t>
      </w:r>
      <w:r>
        <w:rPr>
          <w:rFonts w:hint="eastAsia" w:ascii="仿宋_GB2312" w:hAnsi="宋体" w:eastAsia="仿宋_GB2312"/>
          <w:color w:val="000000"/>
          <w:sz w:val="32"/>
          <w:szCs w:val="32"/>
          <w:u w:val="single"/>
        </w:rPr>
        <w:t xml:space="preserve">       （项目名称）</w:t>
      </w:r>
      <w:r>
        <w:rPr>
          <w:rFonts w:hint="eastAsia" w:ascii="仿宋_GB2312" w:hAnsi="宋体" w:eastAsia="仿宋_GB2312"/>
          <w:color w:val="000000"/>
          <w:sz w:val="32"/>
          <w:szCs w:val="32"/>
        </w:rPr>
        <w:t>采购活动，经评标委员会评审确定乙方为成交供应商，按照《中华人民共和国政府采购法》、《中华人民共和国民法典》和相关法律法规规定，以及采购文件要求，本着平等互利和诚实信用的原则，经甲乙丙三方协商一致，签订本采购合同。</w:t>
      </w:r>
    </w:p>
    <w:p w14:paraId="5E6CA9B2">
      <w:pPr>
        <w:snapToGrid w:val="0"/>
        <w:spacing w:line="560" w:lineRule="exact"/>
        <w:ind w:firstLine="591" w:firstLineChars="197"/>
        <w:rPr>
          <w:rFonts w:ascii="黑体" w:hAnsi="黑体" w:eastAsia="黑体"/>
          <w:color w:val="000000"/>
          <w:sz w:val="30"/>
          <w:szCs w:val="30"/>
        </w:rPr>
      </w:pPr>
      <w:r>
        <w:rPr>
          <w:rFonts w:hint="eastAsia" w:ascii="黑体" w:hAnsi="黑体" w:eastAsia="黑体"/>
          <w:color w:val="000000"/>
          <w:sz w:val="30"/>
          <w:szCs w:val="30"/>
        </w:rPr>
        <w:t>一、货物内容</w:t>
      </w:r>
    </w:p>
    <w:tbl>
      <w:tblPr>
        <w:tblStyle w:val="7"/>
        <w:tblW w:w="11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560"/>
        <w:gridCol w:w="992"/>
        <w:gridCol w:w="1134"/>
        <w:gridCol w:w="1417"/>
        <w:gridCol w:w="1418"/>
        <w:gridCol w:w="1118"/>
        <w:gridCol w:w="1408"/>
        <w:gridCol w:w="1408"/>
      </w:tblGrid>
      <w:tr w14:paraId="0A2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8" w:type="dxa"/>
            <w:vAlign w:val="center"/>
          </w:tcPr>
          <w:p w14:paraId="3BB0DB11">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序号</w:t>
            </w:r>
          </w:p>
        </w:tc>
        <w:tc>
          <w:tcPr>
            <w:tcW w:w="1560" w:type="dxa"/>
            <w:vAlign w:val="center"/>
          </w:tcPr>
          <w:p w14:paraId="329F018E">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货物名称</w:t>
            </w:r>
          </w:p>
        </w:tc>
        <w:tc>
          <w:tcPr>
            <w:tcW w:w="992" w:type="dxa"/>
            <w:vAlign w:val="center"/>
          </w:tcPr>
          <w:p w14:paraId="2FE3C435">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品牌</w:t>
            </w:r>
          </w:p>
        </w:tc>
        <w:tc>
          <w:tcPr>
            <w:tcW w:w="1134" w:type="dxa"/>
            <w:vAlign w:val="center"/>
          </w:tcPr>
          <w:p w14:paraId="49BB1280">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型号</w:t>
            </w:r>
          </w:p>
        </w:tc>
        <w:tc>
          <w:tcPr>
            <w:tcW w:w="1417" w:type="dxa"/>
            <w:vAlign w:val="center"/>
          </w:tcPr>
          <w:p w14:paraId="6103196A">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生产厂家</w:t>
            </w:r>
          </w:p>
        </w:tc>
        <w:tc>
          <w:tcPr>
            <w:tcW w:w="1418" w:type="dxa"/>
            <w:vAlign w:val="center"/>
          </w:tcPr>
          <w:p w14:paraId="266B70D8">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原产国</w:t>
            </w:r>
          </w:p>
        </w:tc>
        <w:tc>
          <w:tcPr>
            <w:tcW w:w="1118" w:type="dxa"/>
            <w:vAlign w:val="center"/>
          </w:tcPr>
          <w:p w14:paraId="4FC7519C">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数量</w:t>
            </w:r>
          </w:p>
        </w:tc>
        <w:tc>
          <w:tcPr>
            <w:tcW w:w="1408" w:type="dxa"/>
            <w:vAlign w:val="center"/>
          </w:tcPr>
          <w:p w14:paraId="506F974B">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单价（元）</w:t>
            </w:r>
          </w:p>
        </w:tc>
        <w:tc>
          <w:tcPr>
            <w:tcW w:w="1408" w:type="dxa"/>
            <w:vAlign w:val="center"/>
          </w:tcPr>
          <w:p w14:paraId="3BD5A0CB">
            <w:pPr>
              <w:snapToGrid w:val="0"/>
              <w:spacing w:line="240" w:lineRule="atLeast"/>
              <w:jc w:val="center"/>
              <w:rPr>
                <w:rFonts w:ascii="黑体" w:hAnsi="黑体" w:eastAsia="黑体"/>
                <w:color w:val="000000"/>
                <w:szCs w:val="21"/>
              </w:rPr>
            </w:pPr>
            <w:r>
              <w:rPr>
                <w:rFonts w:hint="eastAsia" w:ascii="黑体" w:hAnsi="黑体" w:eastAsia="黑体"/>
                <w:color w:val="000000"/>
                <w:szCs w:val="21"/>
              </w:rPr>
              <w:t>总金额（元）</w:t>
            </w:r>
          </w:p>
        </w:tc>
      </w:tr>
      <w:tr w14:paraId="5EE7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8" w:type="dxa"/>
            <w:vAlign w:val="center"/>
          </w:tcPr>
          <w:p w14:paraId="5C299816">
            <w:pPr>
              <w:snapToGrid w:val="0"/>
              <w:spacing w:line="56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1560" w:type="dxa"/>
            <w:vAlign w:val="center"/>
          </w:tcPr>
          <w:p w14:paraId="5A0409E8">
            <w:pPr>
              <w:snapToGrid w:val="0"/>
              <w:spacing w:line="560" w:lineRule="exact"/>
              <w:jc w:val="center"/>
              <w:rPr>
                <w:rFonts w:ascii="仿宋_GB2312" w:hAnsi="宋体" w:eastAsia="仿宋_GB2312"/>
                <w:color w:val="000000"/>
                <w:sz w:val="30"/>
                <w:szCs w:val="30"/>
              </w:rPr>
            </w:pPr>
          </w:p>
        </w:tc>
        <w:tc>
          <w:tcPr>
            <w:tcW w:w="992" w:type="dxa"/>
            <w:vAlign w:val="center"/>
          </w:tcPr>
          <w:p w14:paraId="33ADDA0F">
            <w:pPr>
              <w:snapToGrid w:val="0"/>
              <w:spacing w:line="560" w:lineRule="exact"/>
              <w:jc w:val="center"/>
              <w:rPr>
                <w:rFonts w:ascii="仿宋_GB2312" w:hAnsi="宋体" w:eastAsia="仿宋_GB2312"/>
                <w:color w:val="000000"/>
                <w:sz w:val="30"/>
                <w:szCs w:val="30"/>
              </w:rPr>
            </w:pPr>
          </w:p>
        </w:tc>
        <w:tc>
          <w:tcPr>
            <w:tcW w:w="1134" w:type="dxa"/>
          </w:tcPr>
          <w:p w14:paraId="63D93835">
            <w:pPr>
              <w:snapToGrid w:val="0"/>
              <w:spacing w:line="560" w:lineRule="exact"/>
              <w:jc w:val="center"/>
              <w:rPr>
                <w:rFonts w:ascii="仿宋_GB2312" w:hAnsi="宋体" w:eastAsia="仿宋_GB2312"/>
                <w:color w:val="000000"/>
                <w:sz w:val="30"/>
                <w:szCs w:val="30"/>
              </w:rPr>
            </w:pPr>
          </w:p>
        </w:tc>
        <w:tc>
          <w:tcPr>
            <w:tcW w:w="1417" w:type="dxa"/>
            <w:vAlign w:val="center"/>
          </w:tcPr>
          <w:p w14:paraId="0F0D6640">
            <w:pPr>
              <w:snapToGrid w:val="0"/>
              <w:spacing w:line="560" w:lineRule="exact"/>
              <w:jc w:val="center"/>
              <w:rPr>
                <w:rFonts w:ascii="仿宋_GB2312" w:hAnsi="宋体" w:eastAsia="仿宋_GB2312"/>
                <w:color w:val="000000"/>
                <w:sz w:val="30"/>
                <w:szCs w:val="30"/>
              </w:rPr>
            </w:pPr>
          </w:p>
        </w:tc>
        <w:tc>
          <w:tcPr>
            <w:tcW w:w="1418" w:type="dxa"/>
            <w:vAlign w:val="center"/>
          </w:tcPr>
          <w:p w14:paraId="1CC1DC2A">
            <w:pPr>
              <w:snapToGrid w:val="0"/>
              <w:spacing w:line="560" w:lineRule="exact"/>
              <w:jc w:val="center"/>
              <w:rPr>
                <w:rFonts w:ascii="仿宋_GB2312" w:hAnsi="宋体" w:eastAsia="仿宋_GB2312"/>
                <w:color w:val="000000"/>
                <w:sz w:val="30"/>
                <w:szCs w:val="30"/>
              </w:rPr>
            </w:pPr>
          </w:p>
        </w:tc>
        <w:tc>
          <w:tcPr>
            <w:tcW w:w="1118" w:type="dxa"/>
            <w:vAlign w:val="center"/>
          </w:tcPr>
          <w:p w14:paraId="5A973BF3">
            <w:pPr>
              <w:snapToGrid w:val="0"/>
              <w:spacing w:line="560" w:lineRule="exact"/>
              <w:jc w:val="center"/>
              <w:rPr>
                <w:rFonts w:ascii="仿宋_GB2312" w:hAnsi="宋体" w:eastAsia="仿宋_GB2312"/>
                <w:color w:val="000000"/>
                <w:sz w:val="30"/>
                <w:szCs w:val="30"/>
              </w:rPr>
            </w:pPr>
          </w:p>
        </w:tc>
        <w:tc>
          <w:tcPr>
            <w:tcW w:w="1408" w:type="dxa"/>
            <w:vAlign w:val="center"/>
          </w:tcPr>
          <w:p w14:paraId="29A28EAE">
            <w:pPr>
              <w:snapToGrid w:val="0"/>
              <w:spacing w:line="560" w:lineRule="exact"/>
              <w:jc w:val="center"/>
              <w:rPr>
                <w:rFonts w:ascii="仿宋_GB2312" w:hAnsi="宋体" w:eastAsia="仿宋_GB2312"/>
                <w:color w:val="000000"/>
                <w:sz w:val="30"/>
                <w:szCs w:val="30"/>
              </w:rPr>
            </w:pPr>
          </w:p>
        </w:tc>
        <w:tc>
          <w:tcPr>
            <w:tcW w:w="1408" w:type="dxa"/>
            <w:vAlign w:val="center"/>
          </w:tcPr>
          <w:p w14:paraId="5033E4B6">
            <w:pPr>
              <w:snapToGrid w:val="0"/>
              <w:spacing w:line="560" w:lineRule="exact"/>
              <w:jc w:val="center"/>
              <w:rPr>
                <w:rFonts w:ascii="仿宋_GB2312" w:hAnsi="宋体" w:eastAsia="仿宋_GB2312"/>
                <w:color w:val="000000"/>
                <w:sz w:val="30"/>
                <w:szCs w:val="30"/>
              </w:rPr>
            </w:pPr>
          </w:p>
        </w:tc>
      </w:tr>
      <w:tr w14:paraId="2168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8" w:type="dxa"/>
            <w:vAlign w:val="center"/>
          </w:tcPr>
          <w:p w14:paraId="470FD4F4">
            <w:pPr>
              <w:snapToGrid w:val="0"/>
              <w:spacing w:line="56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1560" w:type="dxa"/>
            <w:vAlign w:val="center"/>
          </w:tcPr>
          <w:p w14:paraId="7F713D97">
            <w:pPr>
              <w:snapToGrid w:val="0"/>
              <w:spacing w:line="560" w:lineRule="exact"/>
              <w:jc w:val="center"/>
              <w:rPr>
                <w:rFonts w:ascii="仿宋_GB2312" w:hAnsi="宋体" w:eastAsia="仿宋_GB2312"/>
                <w:color w:val="000000"/>
                <w:sz w:val="30"/>
                <w:szCs w:val="30"/>
              </w:rPr>
            </w:pPr>
          </w:p>
        </w:tc>
        <w:tc>
          <w:tcPr>
            <w:tcW w:w="992" w:type="dxa"/>
            <w:vAlign w:val="center"/>
          </w:tcPr>
          <w:p w14:paraId="061867CC">
            <w:pPr>
              <w:snapToGrid w:val="0"/>
              <w:spacing w:line="560" w:lineRule="exact"/>
              <w:jc w:val="center"/>
              <w:rPr>
                <w:rFonts w:ascii="仿宋_GB2312" w:hAnsi="宋体" w:eastAsia="仿宋_GB2312"/>
                <w:color w:val="000000"/>
                <w:sz w:val="30"/>
                <w:szCs w:val="30"/>
              </w:rPr>
            </w:pPr>
          </w:p>
        </w:tc>
        <w:tc>
          <w:tcPr>
            <w:tcW w:w="1134" w:type="dxa"/>
          </w:tcPr>
          <w:p w14:paraId="16D3E76E">
            <w:pPr>
              <w:snapToGrid w:val="0"/>
              <w:spacing w:line="560" w:lineRule="exact"/>
              <w:jc w:val="center"/>
              <w:rPr>
                <w:rFonts w:ascii="仿宋_GB2312" w:hAnsi="宋体" w:eastAsia="仿宋_GB2312"/>
                <w:color w:val="000000"/>
                <w:sz w:val="30"/>
                <w:szCs w:val="30"/>
              </w:rPr>
            </w:pPr>
          </w:p>
        </w:tc>
        <w:tc>
          <w:tcPr>
            <w:tcW w:w="1417" w:type="dxa"/>
            <w:vAlign w:val="center"/>
          </w:tcPr>
          <w:p w14:paraId="10D27604">
            <w:pPr>
              <w:snapToGrid w:val="0"/>
              <w:spacing w:line="560" w:lineRule="exact"/>
              <w:jc w:val="center"/>
              <w:rPr>
                <w:rFonts w:ascii="仿宋_GB2312" w:hAnsi="宋体" w:eastAsia="仿宋_GB2312"/>
                <w:color w:val="000000"/>
                <w:sz w:val="30"/>
                <w:szCs w:val="30"/>
              </w:rPr>
            </w:pPr>
          </w:p>
        </w:tc>
        <w:tc>
          <w:tcPr>
            <w:tcW w:w="1418" w:type="dxa"/>
            <w:vAlign w:val="center"/>
          </w:tcPr>
          <w:p w14:paraId="68A7F86F">
            <w:pPr>
              <w:snapToGrid w:val="0"/>
              <w:spacing w:line="560" w:lineRule="exact"/>
              <w:jc w:val="center"/>
              <w:rPr>
                <w:rFonts w:ascii="仿宋_GB2312" w:hAnsi="宋体" w:eastAsia="仿宋_GB2312"/>
                <w:color w:val="000000"/>
                <w:sz w:val="30"/>
                <w:szCs w:val="30"/>
              </w:rPr>
            </w:pPr>
          </w:p>
        </w:tc>
        <w:tc>
          <w:tcPr>
            <w:tcW w:w="1118" w:type="dxa"/>
            <w:vAlign w:val="center"/>
          </w:tcPr>
          <w:p w14:paraId="7A8BE3DD">
            <w:pPr>
              <w:snapToGrid w:val="0"/>
              <w:spacing w:line="560" w:lineRule="exact"/>
              <w:jc w:val="center"/>
              <w:rPr>
                <w:rFonts w:ascii="仿宋_GB2312" w:hAnsi="宋体" w:eastAsia="仿宋_GB2312"/>
                <w:color w:val="000000"/>
                <w:sz w:val="30"/>
                <w:szCs w:val="30"/>
              </w:rPr>
            </w:pPr>
          </w:p>
        </w:tc>
        <w:tc>
          <w:tcPr>
            <w:tcW w:w="1408" w:type="dxa"/>
            <w:vAlign w:val="center"/>
          </w:tcPr>
          <w:p w14:paraId="4B1A5936">
            <w:pPr>
              <w:snapToGrid w:val="0"/>
              <w:spacing w:line="560" w:lineRule="exact"/>
              <w:jc w:val="center"/>
              <w:rPr>
                <w:rFonts w:ascii="仿宋_GB2312" w:hAnsi="宋体" w:eastAsia="仿宋_GB2312"/>
                <w:color w:val="000000"/>
                <w:sz w:val="30"/>
                <w:szCs w:val="30"/>
              </w:rPr>
            </w:pPr>
          </w:p>
        </w:tc>
        <w:tc>
          <w:tcPr>
            <w:tcW w:w="1408" w:type="dxa"/>
            <w:vAlign w:val="center"/>
          </w:tcPr>
          <w:p w14:paraId="59A95158">
            <w:pPr>
              <w:snapToGrid w:val="0"/>
              <w:spacing w:line="560" w:lineRule="exact"/>
              <w:jc w:val="center"/>
              <w:rPr>
                <w:rFonts w:ascii="仿宋_GB2312" w:hAnsi="宋体" w:eastAsia="仿宋_GB2312"/>
                <w:color w:val="000000"/>
                <w:sz w:val="30"/>
                <w:szCs w:val="30"/>
              </w:rPr>
            </w:pPr>
          </w:p>
        </w:tc>
      </w:tr>
    </w:tbl>
    <w:p w14:paraId="3817E238">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根据开标当日中国银行外汇牌价美元兑人民币汇率：1美元=（  ）人民币结算。</w:t>
      </w:r>
    </w:p>
    <w:p w14:paraId="35FE41E8">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此价格为合同执行不变价，不因国家政策变化而变化，该价款包括了货物价格及税费、安装调试、配送、随机零配件、标配工具、必要保险、系统集成、试运行、验收、培训、质保期服务等全部价款。甲方不再就本合同向丙方支付其他费用。</w:t>
      </w:r>
    </w:p>
    <w:p w14:paraId="4DD2D6E4">
      <w:pPr>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注：货物内容相关信息必须与投标文件中的货物内容一致，若存在不一致的，以投标响应文件为准</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合同签订时，另附上投标文件《技术参数响应表》。</w:t>
      </w:r>
    </w:p>
    <w:p w14:paraId="6834C4B1">
      <w:pPr>
        <w:snapToGrid w:val="0"/>
        <w:spacing w:line="560" w:lineRule="exact"/>
        <w:ind w:firstLine="591" w:firstLineChars="197"/>
        <w:rPr>
          <w:rFonts w:ascii="黑体" w:hAnsi="黑体" w:eastAsia="黑体"/>
          <w:color w:val="000000"/>
          <w:sz w:val="30"/>
          <w:szCs w:val="30"/>
        </w:rPr>
      </w:pPr>
      <w:r>
        <w:rPr>
          <w:rFonts w:hint="eastAsia" w:ascii="黑体" w:hAnsi="黑体" w:eastAsia="黑体"/>
          <w:color w:val="000000"/>
          <w:sz w:val="30"/>
          <w:szCs w:val="30"/>
        </w:rPr>
        <w:t>二、合同金额</w:t>
      </w:r>
    </w:p>
    <w:p w14:paraId="1D2EA290">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合同金额为（大写）：</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元）人民币。</w:t>
      </w:r>
    </w:p>
    <w:p w14:paraId="292022EF">
      <w:pPr>
        <w:snapToGrid w:val="0"/>
        <w:spacing w:line="560" w:lineRule="exact"/>
        <w:ind w:firstLine="591" w:firstLineChars="197"/>
        <w:rPr>
          <w:rFonts w:ascii="黑体" w:hAnsi="黑体" w:eastAsia="黑体"/>
          <w:color w:val="000000"/>
          <w:sz w:val="30"/>
          <w:szCs w:val="30"/>
        </w:rPr>
      </w:pPr>
      <w:r>
        <w:rPr>
          <w:rFonts w:hint="eastAsia" w:ascii="黑体" w:hAnsi="黑体" w:eastAsia="黑体"/>
          <w:color w:val="000000"/>
          <w:sz w:val="30"/>
          <w:szCs w:val="30"/>
        </w:rPr>
        <w:t>三、设备要求</w:t>
      </w:r>
    </w:p>
    <w:p w14:paraId="03F5AD02">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1、货物为原制造商制造的全新产品，无污染、无侵权行为、表面无划损、无任何缺陷隐患，在中国境内可依常规安全合法使用。</w:t>
      </w:r>
    </w:p>
    <w:p w14:paraId="5B4318F1">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2、交付验收标准依次序对照使用标准为：①符合中华人民共和国国家安全质量标准、环保标准或行业标准；②符合采购文件和响应承诺中甲方认可的合理最佳配置、参数及各项要求；③货物来源国官方标准。</w:t>
      </w:r>
      <w:r>
        <w:rPr>
          <w:rFonts w:hint="eastAsia" w:ascii="仿宋_GB2312" w:hAnsi="仿宋_GB2312" w:eastAsia="仿宋_GB2312" w:cs="仿宋_GB2312"/>
          <w:color w:val="000000"/>
          <w:sz w:val="32"/>
          <w:szCs w:val="32"/>
          <w:highlight w:val="none"/>
        </w:rPr>
        <w:t>④</w:t>
      </w:r>
      <w:r>
        <w:rPr>
          <w:rFonts w:hint="eastAsia" w:ascii="仿宋_GB2312" w:eastAsia="仿宋_GB2312"/>
          <w:color w:val="000000"/>
          <w:kern w:val="2"/>
          <w:sz w:val="32"/>
          <w:szCs w:val="32"/>
          <w:highlight w:val="none"/>
          <w:lang w:val="en-US" w:eastAsia="zh-CN"/>
        </w:rPr>
        <w:t>《海南师范大学招标采购项目履约验收管理办法》及《验收方案》。</w:t>
      </w:r>
    </w:p>
    <w:p w14:paraId="3FB535D8">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3、进口产品必须具备原产地证明和商检局的检验证明（非法检货物除外）及合法进口渠道证明。</w:t>
      </w:r>
    </w:p>
    <w:p w14:paraId="39BD8F3E">
      <w:pPr>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4、货物为原厂商未启封全新包装，具出厂合格证，序列号、包装箱号与出厂批号一致，并可追索查阅。</w:t>
      </w:r>
    </w:p>
    <w:p w14:paraId="62982B7D">
      <w:pPr>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5、乙方应将关键主机设备的用户手册、保修手册、有关单证资料及配备件、随机工具等交付给甲方，使用操作及安全须知等重要资料应附有中文说明。</w:t>
      </w:r>
    </w:p>
    <w:p w14:paraId="298A5AB7">
      <w:pPr>
        <w:snapToGrid w:val="0"/>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四、交付期、交付方式及交付地点</w:t>
      </w:r>
    </w:p>
    <w:p w14:paraId="5C393A9D">
      <w:pPr>
        <w:snapToGrid w:val="0"/>
        <w:spacing w:line="560" w:lineRule="exact"/>
        <w:ind w:firstLine="591" w:firstLineChars="197"/>
        <w:rPr>
          <w:rFonts w:ascii="仿宋_GB2312" w:hAnsi="宋体" w:eastAsia="仿宋_GB2312"/>
          <w:color w:val="auto"/>
          <w:sz w:val="30"/>
          <w:szCs w:val="30"/>
        </w:rPr>
      </w:pPr>
      <w:r>
        <w:rPr>
          <w:rFonts w:hint="eastAsia" w:ascii="仿宋_GB2312" w:hAnsi="宋体" w:eastAsia="仿宋_GB2312"/>
          <w:color w:val="000000"/>
          <w:sz w:val="30"/>
          <w:szCs w:val="30"/>
        </w:rPr>
        <w:t>1、交付期：自合同签订</w:t>
      </w:r>
      <w:r>
        <w:rPr>
          <w:rFonts w:hint="eastAsia" w:ascii="仿宋_GB2312" w:hAnsi="宋体" w:eastAsia="仿宋_GB2312"/>
          <w:color w:val="auto"/>
          <w:sz w:val="30"/>
          <w:szCs w:val="30"/>
        </w:rPr>
        <w:t>之日起</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日内</w:t>
      </w:r>
      <w:r>
        <w:rPr>
          <w:rFonts w:hint="eastAsia" w:ascii="仿宋_GB2312" w:hAnsi="宋体" w:eastAsia="仿宋_GB2312"/>
          <w:color w:val="auto"/>
          <w:sz w:val="32"/>
          <w:szCs w:val="32"/>
        </w:rPr>
        <w:t>完成供货和安装调试。</w:t>
      </w:r>
    </w:p>
    <w:p w14:paraId="26EF53E1">
      <w:pPr>
        <w:snapToGrid w:val="0"/>
        <w:spacing w:line="560" w:lineRule="exact"/>
        <w:ind w:firstLine="591" w:firstLineChars="197"/>
        <w:rPr>
          <w:rFonts w:ascii="仿宋_GB2312" w:hAnsi="宋体" w:eastAsia="仿宋_GB2312"/>
          <w:color w:val="000000"/>
          <w:sz w:val="30"/>
          <w:szCs w:val="30"/>
        </w:rPr>
      </w:pPr>
      <w:r>
        <w:rPr>
          <w:rFonts w:hint="eastAsia" w:ascii="仿宋_GB2312" w:hAnsi="宋体" w:eastAsia="仿宋_GB2312"/>
          <w:color w:val="000000"/>
          <w:sz w:val="30"/>
          <w:szCs w:val="30"/>
        </w:rPr>
        <w:t>2、交付方式：由乙方送货至甲方指定地点</w:t>
      </w:r>
    </w:p>
    <w:p w14:paraId="4B770ADA">
      <w:pPr>
        <w:snapToGrid w:val="0"/>
        <w:spacing w:line="560" w:lineRule="exact"/>
        <w:ind w:firstLine="591" w:firstLineChars="197"/>
        <w:rPr>
          <w:rFonts w:ascii="仿宋_GB2312" w:hAnsi="宋体" w:eastAsia="仿宋_GB2312"/>
          <w:color w:val="000000"/>
          <w:sz w:val="30"/>
          <w:szCs w:val="30"/>
        </w:rPr>
      </w:pPr>
      <w:r>
        <w:rPr>
          <w:rFonts w:hint="eastAsia" w:ascii="仿宋_GB2312" w:hAnsi="宋体" w:eastAsia="仿宋_GB2312"/>
          <w:color w:val="000000"/>
          <w:sz w:val="30"/>
          <w:szCs w:val="30"/>
        </w:rPr>
        <w:t>2、交付地点：海南师范大学</w:t>
      </w:r>
    </w:p>
    <w:p w14:paraId="3BB0E3BB">
      <w:pPr>
        <w:snapToGrid w:val="0"/>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五、付款方式</w:t>
      </w:r>
    </w:p>
    <w:p w14:paraId="1F1B48E9">
      <w:pPr>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本合同采用第</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种付款方式。</w:t>
      </w:r>
    </w:p>
    <w:p w14:paraId="56913D45">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（一）采取预付款的：</w:t>
      </w:r>
    </w:p>
    <w:p w14:paraId="24D291F4">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本合同生效后，</w:t>
      </w:r>
      <w:r>
        <w:rPr>
          <w:rFonts w:hint="eastAsia" w:ascii="楷体_GB2312" w:hAnsi="宋体" w:eastAsia="楷体_GB2312"/>
          <w:color w:val="000000"/>
          <w:sz w:val="30"/>
          <w:szCs w:val="30"/>
        </w:rPr>
        <w:t>丙方</w:t>
      </w:r>
      <w:r>
        <w:rPr>
          <w:rFonts w:hint="eastAsia" w:ascii="仿宋_GB2312" w:hAnsi="仿宋_GB2312" w:eastAsia="仿宋_GB2312" w:cs="仿宋_GB2312"/>
          <w:sz w:val="32"/>
          <w:szCs w:val="32"/>
        </w:rPr>
        <w:t>向甲方提供有效期至少涵盖本合同约定的所有货物到货并验收合格时间点的预付款等额银行保函或者保险保函后，甲方应在10个工作日内向</w:t>
      </w:r>
      <w:r>
        <w:rPr>
          <w:rFonts w:hint="eastAsia" w:ascii="楷体_GB2312" w:hAnsi="宋体" w:eastAsia="楷体_GB2312"/>
          <w:color w:val="000000"/>
          <w:sz w:val="30"/>
          <w:szCs w:val="30"/>
        </w:rPr>
        <w:t>丙方</w:t>
      </w:r>
      <w:r>
        <w:rPr>
          <w:rFonts w:hint="eastAsia" w:ascii="仿宋_GB2312" w:hAnsi="仿宋_GB2312" w:eastAsia="仿宋_GB2312" w:cs="仿宋_GB2312"/>
          <w:sz w:val="32"/>
          <w:szCs w:val="32"/>
        </w:rPr>
        <w:t>支付合同总金额的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%的预付款，即人民币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14:paraId="123346F3">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甲方收到本合同约定的所有货物并验收合格，取得</w:t>
      </w:r>
      <w:r>
        <w:rPr>
          <w:rFonts w:hint="eastAsia" w:ascii="楷体_GB2312" w:hAnsi="宋体" w:eastAsia="楷体_GB2312"/>
          <w:color w:val="000000"/>
          <w:sz w:val="30"/>
          <w:szCs w:val="30"/>
        </w:rPr>
        <w:t>丙方</w:t>
      </w:r>
      <w:r>
        <w:rPr>
          <w:rFonts w:hint="eastAsia" w:ascii="仿宋_GB2312" w:hAnsi="仿宋_GB2312" w:eastAsia="仿宋_GB2312" w:cs="仿宋_GB2312"/>
          <w:sz w:val="32"/>
          <w:szCs w:val="32"/>
        </w:rPr>
        <w:t>出具的有效期至少涵盖本合同约定质保期的合同总金额5%的质量保证金银行保函或保险保函，</w:t>
      </w:r>
      <w:r>
        <w:rPr>
          <w:rFonts w:hint="eastAsia" w:ascii="仿宋_GB2312" w:hAnsi="仿宋_GB2312" w:eastAsia="仿宋_GB2312" w:cs="仿宋_GB2312"/>
          <w:color w:val="000000"/>
          <w:sz w:val="32"/>
          <w:szCs w:val="32"/>
        </w:rPr>
        <w:t>以及货物销售增值税发票后15个工作日内，向乙方支付合同总金额的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%，即人民币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w:t>
      </w:r>
    </w:p>
    <w:p w14:paraId="5A436B26">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（二）采取货到付款的：</w:t>
      </w:r>
    </w:p>
    <w:p w14:paraId="3DAEA76F">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甲方收到本合同约定的所有货物并验收合格</w:t>
      </w:r>
      <w:r>
        <w:rPr>
          <w:rFonts w:hint="eastAsia" w:ascii="仿宋_GB2312" w:hAnsi="仿宋_GB2312" w:eastAsia="仿宋_GB2312" w:cs="仿宋_GB2312"/>
          <w:sz w:val="32"/>
          <w:szCs w:val="32"/>
        </w:rPr>
        <w:t>，取得</w:t>
      </w:r>
      <w:r>
        <w:rPr>
          <w:rFonts w:hint="eastAsia" w:ascii="楷体_GB2312" w:hAnsi="宋体" w:eastAsia="楷体_GB2312"/>
          <w:color w:val="000000"/>
          <w:sz w:val="30"/>
          <w:szCs w:val="30"/>
        </w:rPr>
        <w:t>丙方</w:t>
      </w:r>
      <w:r>
        <w:rPr>
          <w:rFonts w:hint="eastAsia" w:ascii="仿宋_GB2312" w:hAnsi="仿宋_GB2312" w:eastAsia="仿宋_GB2312" w:cs="仿宋_GB2312"/>
          <w:sz w:val="32"/>
          <w:szCs w:val="32"/>
        </w:rPr>
        <w:t>出具的有效期至少涵盖本合同约定质保期的合同总金额5%的质量保证金银行保函或保险保函，以及货物销售增值税发票后15个工作日内，按合同</w:t>
      </w:r>
      <w:r>
        <w:rPr>
          <w:rFonts w:hint="eastAsia" w:ascii="仿宋_GB2312" w:hAnsi="仿宋_GB2312" w:eastAsia="仿宋_GB2312" w:cs="仿宋_GB2312"/>
          <w:color w:val="000000"/>
          <w:sz w:val="32"/>
          <w:szCs w:val="32"/>
        </w:rPr>
        <w:t>约定金额付款。</w:t>
      </w:r>
    </w:p>
    <w:p w14:paraId="1EB8D5E1">
      <w:pPr>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每次付款前，</w:t>
      </w:r>
      <w:r>
        <w:rPr>
          <w:rFonts w:hint="eastAsia" w:ascii="楷体_GB2312" w:hAnsi="宋体" w:eastAsia="楷体_GB2312"/>
          <w:color w:val="000000"/>
          <w:sz w:val="30"/>
          <w:szCs w:val="30"/>
        </w:rPr>
        <w:t>丙方</w:t>
      </w:r>
      <w:r>
        <w:rPr>
          <w:rFonts w:hint="eastAsia" w:ascii="仿宋_GB2312" w:hAnsi="宋体" w:eastAsia="仿宋_GB2312"/>
          <w:color w:val="000000"/>
          <w:sz w:val="32"/>
          <w:szCs w:val="32"/>
        </w:rPr>
        <w:t>应向甲方提供合法有效等额发票，如因</w:t>
      </w:r>
      <w:r>
        <w:rPr>
          <w:rFonts w:hint="eastAsia" w:ascii="楷体_GB2312" w:hAnsi="宋体" w:eastAsia="楷体_GB2312"/>
          <w:color w:val="000000"/>
          <w:sz w:val="30"/>
          <w:szCs w:val="30"/>
        </w:rPr>
        <w:t>丙方</w:t>
      </w:r>
      <w:r>
        <w:rPr>
          <w:rFonts w:hint="eastAsia" w:ascii="仿宋_GB2312" w:hAnsi="宋体" w:eastAsia="仿宋_GB2312"/>
          <w:color w:val="000000"/>
          <w:sz w:val="32"/>
          <w:szCs w:val="32"/>
        </w:rPr>
        <w:t>未提供发票或提供的发票存在问题，甲方有权延期付款且不承担违约责任；如</w:t>
      </w:r>
      <w:r>
        <w:rPr>
          <w:rFonts w:hint="eastAsia" w:ascii="楷体_GB2312" w:hAnsi="宋体" w:eastAsia="楷体_GB2312"/>
          <w:color w:val="000000"/>
          <w:sz w:val="30"/>
          <w:szCs w:val="30"/>
        </w:rPr>
        <w:t>丙方</w:t>
      </w:r>
      <w:r>
        <w:rPr>
          <w:rFonts w:hint="eastAsia" w:ascii="仿宋_GB2312" w:hAnsi="宋体" w:eastAsia="仿宋_GB2312"/>
          <w:color w:val="000000"/>
          <w:sz w:val="32"/>
          <w:szCs w:val="32"/>
        </w:rPr>
        <w:t>开具的发票不合法，</w:t>
      </w:r>
      <w:r>
        <w:rPr>
          <w:rFonts w:hint="eastAsia" w:ascii="楷体_GB2312" w:hAnsi="宋体" w:eastAsia="楷体_GB2312"/>
          <w:color w:val="000000"/>
          <w:sz w:val="30"/>
          <w:szCs w:val="30"/>
        </w:rPr>
        <w:t>丙方</w:t>
      </w:r>
      <w:r>
        <w:rPr>
          <w:rFonts w:hint="eastAsia" w:ascii="仿宋_GB2312" w:hAnsi="宋体" w:eastAsia="仿宋_GB2312"/>
          <w:color w:val="000000"/>
          <w:sz w:val="32"/>
          <w:szCs w:val="32"/>
        </w:rPr>
        <w:t>应赔偿因此给甲方造成的一切损失。由于甲方内部审批或财政拨款导致款项不能及时到账的，不视为甲方延期履行付款义务，甲方不承担任何延期付款的违约责任。</w:t>
      </w:r>
    </w:p>
    <w:p w14:paraId="1090137E">
      <w:pPr>
        <w:snapToGrid w:val="0"/>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六、验收、交付标准</w:t>
      </w:r>
    </w:p>
    <w:p w14:paraId="5D7AF4CA">
      <w:pPr>
        <w:pStyle w:val="6"/>
        <w:shd w:val="clear" w:color="auto" w:fill="FFFFFF"/>
        <w:snapToGrid w:val="0"/>
        <w:spacing w:before="0" w:beforeAutospacing="0" w:after="0" w:afterAutospacing="0" w:line="58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项目验收、交付标准内容主要包括合同规定的外观数量、技术质量等内容的履约情况，主要包括但不限于以下内容：</w:t>
      </w:r>
    </w:p>
    <w:p w14:paraId="2F3BAA0C">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1、外观及数量：合同、到货清单和实物三者品牌、型号、配置、配件、生产厂商、产地、数量等完全相符。</w:t>
      </w:r>
    </w:p>
    <w:p w14:paraId="5CCDB5A9">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2、技术质量：货物完全按规范进行安装，并通过运行调试（包括功能调试、技术指标调试、整机统调等）和仪器检测等方法，检查仪器设备的性能指标、技术质量以及提供的人员培训等符合合同规定的要求等。</w:t>
      </w:r>
    </w:p>
    <w:p w14:paraId="7C7073C4">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3、文档资料：货物合格证、说明书、保修单等齐备；交货单等组织过程文件、试运行报告、调试报告、培训记录、用户手册等其他说明文件完成。</w:t>
      </w:r>
    </w:p>
    <w:p w14:paraId="076921B9">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4、验收合格前货物毁损</w:t>
      </w:r>
      <w:r>
        <w:rPr>
          <w:rFonts w:hint="eastAsia" w:ascii="仿宋_GB2312" w:hAnsi="宋体" w:eastAsia="仿宋_GB2312"/>
          <w:color w:val="000000"/>
          <w:sz w:val="32"/>
          <w:szCs w:val="32"/>
          <w:lang w:eastAsia="zh-CN"/>
        </w:rPr>
        <w:t>灭失</w:t>
      </w:r>
      <w:r>
        <w:rPr>
          <w:rFonts w:hint="eastAsia" w:ascii="仿宋_GB2312" w:hAnsi="宋体" w:eastAsia="仿宋_GB2312"/>
          <w:color w:val="000000"/>
          <w:sz w:val="32"/>
          <w:szCs w:val="32"/>
        </w:rPr>
        <w:t>的风险由乙方承担，甲方初步验收合格的，不视为甲方认可乙方提供的产品不存在隐蔽瑕疵等内在质量问题。</w:t>
      </w:r>
    </w:p>
    <w:p w14:paraId="42E633AC">
      <w:pPr>
        <w:snapToGrid w:val="0"/>
        <w:spacing w:line="560" w:lineRule="exact"/>
        <w:ind w:firstLine="591" w:firstLineChars="197"/>
        <w:rPr>
          <w:rFonts w:ascii="黑体" w:hAnsi="黑体" w:eastAsia="黑体"/>
          <w:color w:val="000000"/>
          <w:sz w:val="30"/>
          <w:szCs w:val="30"/>
        </w:rPr>
      </w:pPr>
      <w:r>
        <w:rPr>
          <w:rFonts w:hint="eastAsia" w:ascii="黑体" w:hAnsi="黑体" w:eastAsia="黑体"/>
          <w:color w:val="000000"/>
          <w:sz w:val="30"/>
          <w:szCs w:val="30"/>
        </w:rPr>
        <w:t>七、质量保修范围及保修期</w:t>
      </w:r>
    </w:p>
    <w:p w14:paraId="2089B71D">
      <w:pPr>
        <w:tabs>
          <w:tab w:val="left" w:pos="960"/>
        </w:tabs>
        <w:snapToGrid w:val="0"/>
        <w:spacing w:line="560" w:lineRule="exact"/>
        <w:ind w:firstLine="640" w:firstLineChars="200"/>
        <w:rPr>
          <w:rFonts w:ascii="仿宋_GB2312" w:hAnsi="宋体" w:eastAsia="仿宋_GB2312"/>
          <w:b/>
          <w:color w:val="000000"/>
          <w:sz w:val="32"/>
          <w:szCs w:val="32"/>
          <w:u w:val="single"/>
        </w:rPr>
      </w:pPr>
      <w:r>
        <w:rPr>
          <w:rFonts w:hint="eastAsia" w:ascii="仿宋_GB2312" w:hAnsi="宋体" w:eastAsia="仿宋_GB2312"/>
          <w:color w:val="000000"/>
          <w:sz w:val="32"/>
          <w:szCs w:val="32"/>
        </w:rPr>
        <w:t>1、乙方对所有设备提供</w:t>
      </w:r>
      <w:r>
        <w:rPr>
          <w:rFonts w:hint="eastAsia" w:ascii="仿宋_GB2312" w:hAnsi="宋体" w:eastAsia="仿宋_GB2312"/>
          <w:color w:val="000000"/>
          <w:sz w:val="32"/>
          <w:szCs w:val="32"/>
          <w:u w:val="single"/>
        </w:rPr>
        <w:t xml:space="preserve"> </w:t>
      </w:r>
      <w:r>
        <w:rPr>
          <w:rFonts w:hint="eastAsia" w:ascii="仿宋_GB2312" w:hAnsi="宋体" w:eastAsia="仿宋_GB2312"/>
          <w:b/>
          <w:color w:val="000000"/>
          <w:sz w:val="32"/>
          <w:szCs w:val="32"/>
          <w:u w:val="single"/>
        </w:rPr>
        <w:t xml:space="preserve">  </w:t>
      </w:r>
      <w:r>
        <w:rPr>
          <w:rFonts w:ascii="仿宋_GB2312" w:hAnsi="宋体" w:eastAsia="仿宋_GB2312"/>
          <w:b/>
          <w:color w:val="000000"/>
          <w:sz w:val="32"/>
          <w:szCs w:val="32"/>
        </w:rPr>
        <w:t>月</w:t>
      </w:r>
      <w:r>
        <w:rPr>
          <w:rFonts w:hint="eastAsia" w:ascii="仿宋_GB2312" w:hAnsi="宋体" w:eastAsia="仿宋_GB2312"/>
          <w:color w:val="000000"/>
          <w:sz w:val="32"/>
          <w:szCs w:val="32"/>
        </w:rPr>
        <w:t>的包换期，品牌设备按原厂保修期提供质量保障。设备类提供</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年</w:t>
      </w:r>
      <w:r>
        <w:rPr>
          <w:rFonts w:hint="eastAsia" w:ascii="仿宋_GB2312" w:hAnsi="宋体" w:eastAsia="仿宋_GB2312"/>
          <w:color w:val="000000"/>
          <w:sz w:val="32"/>
          <w:szCs w:val="32"/>
        </w:rPr>
        <w:t>（验收合格之日起计）免费维修服务和终生维修、保养服务；家具类提供</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年</w:t>
      </w:r>
      <w:r>
        <w:rPr>
          <w:rFonts w:hint="eastAsia" w:ascii="仿宋_GB2312" w:hAnsi="宋体" w:eastAsia="仿宋_GB2312"/>
          <w:color w:val="000000"/>
          <w:sz w:val="32"/>
          <w:szCs w:val="32"/>
        </w:rPr>
        <w:t>（验收合格之日起计）免费维修服务和终生维修、保养服务。</w:t>
      </w:r>
    </w:p>
    <w:p w14:paraId="082FAA44">
      <w:pPr>
        <w:tabs>
          <w:tab w:val="left" w:pos="960"/>
        </w:tabs>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2、乙方应开通</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小时</w:t>
      </w:r>
      <w:r>
        <w:rPr>
          <w:rFonts w:hint="eastAsia" w:ascii="仿宋_GB2312" w:hAnsi="宋体" w:eastAsia="仿宋_GB2312"/>
          <w:color w:val="000000"/>
          <w:sz w:val="32"/>
          <w:szCs w:val="32"/>
        </w:rPr>
        <w:t>服务热线。保证在接到故障电话后响应时间小于</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小时</w:t>
      </w:r>
      <w:r>
        <w:rPr>
          <w:rFonts w:hint="eastAsia" w:ascii="仿宋_GB2312" w:hAnsi="宋体" w:eastAsia="仿宋_GB2312"/>
          <w:color w:val="000000"/>
          <w:sz w:val="32"/>
          <w:szCs w:val="32"/>
        </w:rPr>
        <w:t>，如需现场解决，保证</w:t>
      </w:r>
      <w:r>
        <w:rPr>
          <w:rFonts w:hint="eastAsia" w:ascii="仿宋_GB2312" w:hAnsi="宋体" w:eastAsia="仿宋_GB2312"/>
          <w:b/>
          <w:color w:val="000000"/>
          <w:sz w:val="32"/>
          <w:szCs w:val="32"/>
          <w:u w:val="single"/>
        </w:rPr>
        <w:t xml:space="preserve">   </w:t>
      </w:r>
      <w:r>
        <w:rPr>
          <w:rFonts w:hint="eastAsia" w:ascii="仿宋_GB2312" w:hAnsi="宋体" w:eastAsia="仿宋_GB2312"/>
          <w:b/>
          <w:color w:val="000000"/>
          <w:sz w:val="32"/>
          <w:szCs w:val="32"/>
        </w:rPr>
        <w:t>小时</w:t>
      </w:r>
      <w:r>
        <w:rPr>
          <w:rFonts w:hint="eastAsia" w:ascii="仿宋_GB2312" w:hAnsi="宋体" w:eastAsia="仿宋_GB2312"/>
          <w:color w:val="000000"/>
          <w:sz w:val="32"/>
          <w:szCs w:val="32"/>
        </w:rPr>
        <w:t>内派出技术服务人员赶到现场。</w:t>
      </w:r>
    </w:p>
    <w:p w14:paraId="23297F09">
      <w:pPr>
        <w:tabs>
          <w:tab w:val="left" w:pos="960"/>
        </w:tabs>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3、产品或主要部件在质保期内发生二次故障而无法排除并影响用户使用时，供应商免费更换产品。</w:t>
      </w:r>
    </w:p>
    <w:p w14:paraId="1954E3FC">
      <w:pPr>
        <w:snapToGrid w:val="0"/>
        <w:spacing w:line="560" w:lineRule="exact"/>
        <w:ind w:firstLine="591" w:firstLineChars="197"/>
        <w:rPr>
          <w:rFonts w:ascii="黑体" w:hAnsi="黑体" w:eastAsia="黑体"/>
          <w:color w:val="000000"/>
          <w:sz w:val="30"/>
          <w:szCs w:val="30"/>
        </w:rPr>
      </w:pPr>
      <w:r>
        <w:rPr>
          <w:rFonts w:hint="eastAsia" w:ascii="黑体" w:hAnsi="黑体" w:eastAsia="黑体"/>
          <w:color w:val="000000"/>
          <w:sz w:val="30"/>
          <w:szCs w:val="30"/>
        </w:rPr>
        <w:t>八、违约责任</w:t>
      </w:r>
    </w:p>
    <w:p w14:paraId="03C87A9D">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1、乙方所供货物及相应服务等不符合采购文件、响应文件或合同约定标准，甲方有权拒收</w:t>
      </w:r>
      <w:r>
        <w:rPr>
          <w:rFonts w:hint="eastAsia" w:ascii="仿宋_GB2312" w:hAnsi="宋体" w:eastAsia="仿宋_GB2312"/>
          <w:color w:val="000000"/>
          <w:sz w:val="32"/>
          <w:szCs w:val="32"/>
          <w:lang w:val="en-US" w:eastAsia="zh-CN"/>
        </w:rPr>
        <w:t>不符合标准的货物</w:t>
      </w:r>
      <w:r>
        <w:rPr>
          <w:rFonts w:hint="eastAsia" w:ascii="仿宋_GB2312" w:hAnsi="宋体" w:eastAsia="仿宋_GB2312"/>
          <w:color w:val="000000"/>
          <w:sz w:val="32"/>
          <w:szCs w:val="32"/>
        </w:rPr>
        <w:t>及相应服务</w:t>
      </w:r>
      <w:r>
        <w:rPr>
          <w:rFonts w:hint="eastAsia" w:ascii="仿宋_GB2312" w:hAnsi="宋体" w:eastAsia="仿宋_GB2312"/>
          <w:color w:val="000000"/>
          <w:sz w:val="32"/>
          <w:szCs w:val="32"/>
          <w:lang w:val="en-US" w:eastAsia="zh-CN"/>
        </w:rPr>
        <w:t>或全部货物</w:t>
      </w:r>
      <w:r>
        <w:rPr>
          <w:rFonts w:hint="eastAsia" w:ascii="仿宋_GB2312" w:hAnsi="宋体" w:eastAsia="仿宋_GB2312"/>
          <w:color w:val="000000"/>
          <w:sz w:val="32"/>
          <w:szCs w:val="32"/>
        </w:rPr>
        <w:t>及相应服务，乙方须向甲方支付合同总金额15%的违约金。</w:t>
      </w:r>
    </w:p>
    <w:p w14:paraId="14A5E255">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2、乙方不能按照约定时间交付货物时，乙方应在违约日开始后的15日内同意丙方全额退还预付款或滞留在丙方账号内，并赔偿预付款在丙方账号滞留期间一年期贷款市场报价利率的1.5倍计算所产生的利息。（“一年期贷款市场报价利率”指中国人民银行授权全国银行间同业拆借中心自2019年8月20日起每月发布的一年期贷款市场报价利率。）</w:t>
      </w:r>
    </w:p>
    <w:p w14:paraId="332642B7">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3、乙方逾期交付货物时</w:t>
      </w:r>
      <w:bookmarkStart w:id="0" w:name="_GoBack"/>
      <w:bookmarkEnd w:id="0"/>
      <w:r>
        <w:rPr>
          <w:rFonts w:hint="eastAsia" w:ascii="仿宋_GB2312" w:hAnsi="宋体" w:eastAsia="仿宋_GB2312"/>
          <w:color w:val="000000"/>
          <w:sz w:val="32"/>
          <w:szCs w:val="32"/>
        </w:rPr>
        <w:t>，每逾1日乙方向甲方支付合同总金额5‰的滞纳金，最高不超过15%。逾期交付超过30日，甲方有权决定是否继续履行合同，如甲方决定终止履行合同的，乙方须向甲方支付合同总金额15%的违约金，并赔偿甲方因此所遭受的损失。</w:t>
      </w:r>
    </w:p>
    <w:p w14:paraId="25252669">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4、乙方存在围标串标、虚假应标等违反政府采购相关法律法规行为时，甲方有权立即终止合同，乙方须向甲方支付合同总金额15%的违约金，并赔偿甲方因此所遭受的损失。同时，乙方三年内不得参加甲方的采购项目。</w:t>
      </w:r>
    </w:p>
    <w:p w14:paraId="56C46CB6">
      <w:pPr>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5、因乙方、丙方的原因给甲方造成损害，由乙方（及/或原厂商）和丙方各自承担对应责任。</w:t>
      </w:r>
    </w:p>
    <w:p w14:paraId="7DB2EA2D">
      <w:pPr>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6、未经甲方书面同意，乙方、丙方部分或者全部转让、分包履行其应履行的合同项下的义务，乙方、丙方应当分别向甲方按本合同总金额的30%支付违约金，并承担由此给甲方造成的全部损失，甲方有权解除合同，不支付任何费用。</w:t>
      </w:r>
    </w:p>
    <w:p w14:paraId="05A91BD7">
      <w:pPr>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7、丙方、乙方发生违约情形的，除支付违约金外，还应当承担由此给甲方造成的全部损失，包括但不限于给甲方造成的直接经济损失、间接经济损失以及甲方为维护权益所产生的律师费、诉讼费、保全费、保全保险费、鉴定费、评估费、差旅费等。甲方有权就违约金以及赔偿金在尚未支付的费用或其他待支付款项中扣除或者抵扣。</w:t>
      </w:r>
    </w:p>
    <w:p w14:paraId="449A0F4D">
      <w:pPr>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8、其他违约责任按《中华人民共和国民法典》</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上级及学校的相关规定</w:t>
      </w:r>
      <w:r>
        <w:rPr>
          <w:rFonts w:hint="eastAsia" w:ascii="仿宋_GB2312" w:hAnsi="宋体" w:eastAsia="仿宋_GB2312"/>
          <w:color w:val="000000"/>
          <w:sz w:val="32"/>
          <w:szCs w:val="32"/>
        </w:rPr>
        <w:t>处理。</w:t>
      </w:r>
    </w:p>
    <w:p w14:paraId="3DD39BCC">
      <w:pPr>
        <w:snapToGrid w:val="0"/>
        <w:spacing w:line="560" w:lineRule="exact"/>
        <w:ind w:firstLine="591" w:firstLineChars="197"/>
        <w:rPr>
          <w:rFonts w:ascii="黑体" w:hAnsi="黑体" w:eastAsia="黑体"/>
          <w:color w:val="000000"/>
          <w:sz w:val="30"/>
          <w:szCs w:val="30"/>
        </w:rPr>
      </w:pPr>
      <w:r>
        <w:rPr>
          <w:rFonts w:hint="eastAsia" w:ascii="黑体" w:hAnsi="黑体" w:eastAsia="黑体"/>
          <w:color w:val="000000"/>
          <w:sz w:val="30"/>
          <w:szCs w:val="30"/>
        </w:rPr>
        <w:t>九、争议解决</w:t>
      </w:r>
    </w:p>
    <w:p w14:paraId="76B5C81B">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在合同履行中发生争议时，应通过协商解决。如协商不成，可以向甲方所在地法院提起诉讼并由过错方承担由此产生的法律诉讼费等相关费用。</w:t>
      </w:r>
    </w:p>
    <w:p w14:paraId="34B41965">
      <w:pPr>
        <w:snapToGrid w:val="0"/>
        <w:spacing w:line="560" w:lineRule="exact"/>
        <w:ind w:firstLine="591" w:firstLineChars="197"/>
        <w:rPr>
          <w:rFonts w:ascii="黑体" w:hAnsi="黑体" w:eastAsia="黑体"/>
          <w:color w:val="000000"/>
          <w:sz w:val="30"/>
          <w:szCs w:val="30"/>
        </w:rPr>
      </w:pPr>
      <w:r>
        <w:rPr>
          <w:rFonts w:hint="eastAsia" w:ascii="黑体" w:hAnsi="黑体" w:eastAsia="黑体"/>
          <w:color w:val="000000"/>
          <w:sz w:val="30"/>
          <w:szCs w:val="30"/>
        </w:rPr>
        <w:t>十、免责事宜</w:t>
      </w:r>
    </w:p>
    <w:p w14:paraId="1B76BF05">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合同</w:t>
      </w:r>
      <w:r>
        <w:rPr>
          <w:rFonts w:ascii="仿宋_GB2312" w:hAnsi="宋体" w:eastAsia="仿宋_GB2312"/>
          <w:color w:val="000000"/>
          <w:sz w:val="32"/>
          <w:szCs w:val="32"/>
        </w:rPr>
        <w:t>任何一方由于不可抗力的原因不能履行合同时，应及时向对方通报不能履行或不能完全履行的理由，以减轻可能给对方造成的损失，在取得有关机构证明</w:t>
      </w:r>
      <w:r>
        <w:rPr>
          <w:rFonts w:hint="eastAsia" w:ascii="仿宋_GB2312" w:hAnsi="宋体" w:eastAsia="仿宋_GB2312"/>
          <w:color w:val="000000"/>
          <w:sz w:val="32"/>
          <w:szCs w:val="32"/>
        </w:rPr>
        <w:t>或双方谅解确认</w:t>
      </w:r>
      <w:r>
        <w:rPr>
          <w:rFonts w:ascii="仿宋_GB2312" w:hAnsi="宋体" w:eastAsia="仿宋_GB2312"/>
          <w:color w:val="000000"/>
          <w:sz w:val="32"/>
          <w:szCs w:val="32"/>
        </w:rPr>
        <w:t>后，允许延期履行、部分履行或者不履行合同，并根据情况可部分或全部免予承担违约责任。</w:t>
      </w:r>
    </w:p>
    <w:p w14:paraId="3ED78BCE">
      <w:pPr>
        <w:snapToGrid w:val="0"/>
        <w:spacing w:line="5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十一、合同生效</w:t>
      </w:r>
    </w:p>
    <w:p w14:paraId="79EC0FC2">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1、合同由甲、乙、丙及鉴证四方法定代表人或授权代表签字并加盖单位公章后生效。</w:t>
      </w:r>
    </w:p>
    <w:p w14:paraId="1E4C083F">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2、本合同一式</w:t>
      </w:r>
      <w:r>
        <w:rPr>
          <w:rFonts w:hint="eastAsia" w:ascii="仿宋_GB2312" w:hAnsi="宋体" w:eastAsia="仿宋_GB2312"/>
          <w:color w:val="000000"/>
          <w:sz w:val="32"/>
          <w:szCs w:val="32"/>
          <w:u w:val="single"/>
        </w:rPr>
        <w:t xml:space="preserve"> 捌 </w:t>
      </w:r>
      <w:r>
        <w:rPr>
          <w:rFonts w:hint="eastAsia" w:ascii="仿宋_GB2312" w:hAnsi="宋体" w:eastAsia="仿宋_GB2312"/>
          <w:color w:val="000000"/>
          <w:sz w:val="32"/>
          <w:szCs w:val="32"/>
        </w:rPr>
        <w:t>份，甲方</w:t>
      </w:r>
      <w:r>
        <w:rPr>
          <w:rFonts w:hint="eastAsia" w:ascii="仿宋_GB2312" w:hAnsi="宋体" w:eastAsia="仿宋_GB2312"/>
          <w:color w:val="000000"/>
          <w:sz w:val="32"/>
          <w:szCs w:val="32"/>
          <w:u w:val="single"/>
        </w:rPr>
        <w:t xml:space="preserve"> 肆 </w:t>
      </w:r>
      <w:r>
        <w:rPr>
          <w:rFonts w:hint="eastAsia" w:ascii="仿宋_GB2312" w:hAnsi="宋体" w:eastAsia="仿宋_GB2312"/>
          <w:color w:val="000000"/>
          <w:sz w:val="32"/>
          <w:szCs w:val="32"/>
        </w:rPr>
        <w:t>份，乙方</w:t>
      </w:r>
      <w:r>
        <w:rPr>
          <w:rFonts w:hint="eastAsia" w:ascii="仿宋_GB2312" w:hAnsi="宋体" w:eastAsia="仿宋_GB2312"/>
          <w:color w:val="000000"/>
          <w:sz w:val="32"/>
          <w:szCs w:val="32"/>
          <w:u w:val="single"/>
        </w:rPr>
        <w:t xml:space="preserve"> 贰 </w:t>
      </w:r>
      <w:r>
        <w:rPr>
          <w:rFonts w:hint="eastAsia" w:ascii="仿宋_GB2312" w:hAnsi="宋体" w:eastAsia="仿宋_GB2312"/>
          <w:color w:val="000000"/>
          <w:sz w:val="32"/>
          <w:szCs w:val="32"/>
        </w:rPr>
        <w:t>份，丙方</w:t>
      </w:r>
      <w:r>
        <w:rPr>
          <w:rFonts w:hint="eastAsia" w:ascii="仿宋_GB2312" w:hAnsi="宋体" w:eastAsia="仿宋_GB2312"/>
          <w:color w:val="000000"/>
          <w:sz w:val="32"/>
          <w:szCs w:val="32"/>
          <w:u w:val="single"/>
        </w:rPr>
        <w:t xml:space="preserve">壹 </w:t>
      </w:r>
      <w:r>
        <w:rPr>
          <w:rFonts w:hint="eastAsia" w:ascii="仿宋_GB2312" w:hAnsi="宋体" w:eastAsia="仿宋_GB2312"/>
          <w:color w:val="000000"/>
          <w:sz w:val="32"/>
          <w:szCs w:val="32"/>
        </w:rPr>
        <w:t>份，采购代理机构</w:t>
      </w:r>
      <w:r>
        <w:rPr>
          <w:rFonts w:hint="eastAsia" w:ascii="仿宋_GB2312" w:hAnsi="宋体" w:eastAsia="仿宋_GB2312"/>
          <w:color w:val="000000"/>
          <w:sz w:val="32"/>
          <w:szCs w:val="32"/>
          <w:u w:val="single"/>
        </w:rPr>
        <w:t xml:space="preserve"> 壹 </w:t>
      </w:r>
      <w:r>
        <w:rPr>
          <w:rFonts w:hint="eastAsia" w:ascii="仿宋_GB2312" w:hAnsi="宋体" w:eastAsia="仿宋_GB2312"/>
          <w:color w:val="000000"/>
          <w:sz w:val="32"/>
          <w:szCs w:val="32"/>
        </w:rPr>
        <w:t>份，具有同等法律效力。</w:t>
      </w:r>
    </w:p>
    <w:p w14:paraId="75C5DF51">
      <w:pPr>
        <w:snapToGrid w:val="0"/>
        <w:spacing w:line="560" w:lineRule="exact"/>
        <w:ind w:firstLine="441" w:firstLineChars="147"/>
        <w:rPr>
          <w:rFonts w:ascii="黑体" w:hAnsi="黑体" w:eastAsia="黑体"/>
          <w:color w:val="000000"/>
          <w:sz w:val="30"/>
          <w:szCs w:val="30"/>
        </w:rPr>
      </w:pPr>
      <w:r>
        <w:rPr>
          <w:rFonts w:hint="eastAsia" w:ascii="黑体" w:hAnsi="黑体" w:eastAsia="黑体"/>
          <w:color w:val="000000"/>
          <w:sz w:val="30"/>
          <w:szCs w:val="30"/>
        </w:rPr>
        <w:t>十二、其他</w:t>
      </w:r>
    </w:p>
    <w:p w14:paraId="36397B7E">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1、除采购文件规定且甲方事先书面同意外，乙方、丙方不得部分或者全部转让、分包履行其应履行的合同项下的义务。</w:t>
      </w:r>
    </w:p>
    <w:p w14:paraId="6401DF34">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2、进口仪器设备的外贸代理服务机构必须由采购人从已遴选的名册中确定，乙方不能自行委托。</w:t>
      </w:r>
    </w:p>
    <w:p w14:paraId="4CD662A3">
      <w:pPr>
        <w:snapToGrid w:val="0"/>
        <w:spacing w:line="560" w:lineRule="exact"/>
        <w:ind w:firstLine="630" w:firstLineChars="197"/>
        <w:rPr>
          <w:rFonts w:ascii="仿宋_GB2312" w:hAnsi="宋体" w:eastAsia="仿宋_GB2312"/>
          <w:color w:val="000000"/>
          <w:sz w:val="32"/>
          <w:szCs w:val="32"/>
        </w:rPr>
      </w:pPr>
      <w:r>
        <w:rPr>
          <w:rFonts w:hint="eastAsia" w:ascii="仿宋_GB2312" w:hAnsi="宋体" w:eastAsia="仿宋_GB2312"/>
          <w:color w:val="000000"/>
          <w:sz w:val="32"/>
          <w:szCs w:val="32"/>
        </w:rPr>
        <w:t>3、进口仪器设备的合同与国产仪器设备的合同分开签订。</w:t>
      </w:r>
    </w:p>
    <w:p w14:paraId="1D9598B8">
      <w:pPr>
        <w:snapToGrid w:val="0"/>
        <w:spacing w:line="560" w:lineRule="exact"/>
        <w:ind w:firstLine="630" w:firstLineChars="197"/>
        <w:rPr>
          <w:rFonts w:ascii="仿宋_GB2312" w:hAnsi="宋体" w:eastAsia="仿宋_GB2312"/>
          <w:color w:val="000000"/>
          <w:sz w:val="30"/>
          <w:szCs w:val="30"/>
        </w:rPr>
      </w:pPr>
      <w:r>
        <w:rPr>
          <w:rFonts w:hint="eastAsia" w:ascii="仿宋_GB2312" w:hAnsi="宋体" w:eastAsia="仿宋_GB2312"/>
          <w:color w:val="000000"/>
          <w:sz w:val="32"/>
          <w:szCs w:val="32"/>
        </w:rPr>
        <w:t>4、投标价格中包含应付给丙方的外贸代理服务费，具体代理进口服务费率见下表：</w:t>
      </w:r>
    </w:p>
    <w:p w14:paraId="140BEF28">
      <w:pPr>
        <w:snapToGrid w:val="0"/>
        <w:spacing w:line="560" w:lineRule="exact"/>
        <w:ind w:firstLine="441" w:firstLineChars="147"/>
        <w:jc w:val="center"/>
        <w:rPr>
          <w:rFonts w:ascii="仿宋_GB2312" w:hAnsi="宋体" w:eastAsia="仿宋_GB2312"/>
          <w:b/>
          <w:color w:val="000000"/>
          <w:sz w:val="30"/>
          <w:szCs w:val="30"/>
        </w:rPr>
      </w:pPr>
      <w:r>
        <w:rPr>
          <w:rFonts w:hint="eastAsia" w:ascii="仿宋_GB2312" w:hAnsi="宋体" w:eastAsia="仿宋_GB2312"/>
          <w:b/>
          <w:color w:val="000000"/>
          <w:sz w:val="30"/>
          <w:szCs w:val="30"/>
        </w:rPr>
        <w:t>服务费率表</w:t>
      </w:r>
    </w:p>
    <w:tbl>
      <w:tblPr>
        <w:tblStyle w:val="7"/>
        <w:tblW w:w="9950" w:type="dxa"/>
        <w:jc w:val="center"/>
        <w:tblLayout w:type="fixed"/>
        <w:tblCellMar>
          <w:top w:w="0" w:type="dxa"/>
          <w:left w:w="108" w:type="dxa"/>
          <w:bottom w:w="0" w:type="dxa"/>
          <w:right w:w="108" w:type="dxa"/>
        </w:tblCellMar>
      </w:tblPr>
      <w:tblGrid>
        <w:gridCol w:w="1574"/>
        <w:gridCol w:w="1276"/>
        <w:gridCol w:w="1275"/>
        <w:gridCol w:w="1276"/>
        <w:gridCol w:w="1418"/>
        <w:gridCol w:w="1559"/>
        <w:gridCol w:w="1572"/>
      </w:tblGrid>
      <w:tr w14:paraId="2951711D">
        <w:tblPrEx>
          <w:tblCellMar>
            <w:top w:w="0" w:type="dxa"/>
            <w:left w:w="108" w:type="dxa"/>
            <w:bottom w:w="0" w:type="dxa"/>
            <w:right w:w="108" w:type="dxa"/>
          </w:tblCellMar>
        </w:tblPrEx>
        <w:trPr>
          <w:trHeight w:val="1276"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14:paraId="76DBBB97">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进口货物国内合同金额(人民币/单位：万元）</w:t>
            </w:r>
          </w:p>
        </w:tc>
        <w:tc>
          <w:tcPr>
            <w:tcW w:w="1276" w:type="dxa"/>
            <w:tcBorders>
              <w:top w:val="single" w:color="auto" w:sz="4" w:space="0"/>
              <w:left w:val="single" w:color="auto" w:sz="4" w:space="0"/>
              <w:bottom w:val="single" w:color="auto" w:sz="4" w:space="0"/>
              <w:right w:val="single" w:color="auto" w:sz="4" w:space="0"/>
            </w:tcBorders>
            <w:vAlign w:val="center"/>
          </w:tcPr>
          <w:p w14:paraId="3F4E9B2C">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最低价（20万元以下）</w:t>
            </w:r>
          </w:p>
        </w:tc>
        <w:tc>
          <w:tcPr>
            <w:tcW w:w="1275" w:type="dxa"/>
            <w:tcBorders>
              <w:top w:val="single" w:color="auto" w:sz="4" w:space="0"/>
              <w:left w:val="nil"/>
              <w:bottom w:val="single" w:color="auto" w:sz="4" w:space="0"/>
              <w:right w:val="single" w:color="auto" w:sz="4" w:space="0"/>
            </w:tcBorders>
            <w:vAlign w:val="center"/>
          </w:tcPr>
          <w:p w14:paraId="47A9DC19">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20--65</w:t>
            </w:r>
          </w:p>
        </w:tc>
        <w:tc>
          <w:tcPr>
            <w:tcW w:w="1276" w:type="dxa"/>
            <w:tcBorders>
              <w:top w:val="single" w:color="auto" w:sz="4" w:space="0"/>
              <w:left w:val="nil"/>
              <w:bottom w:val="single" w:color="auto" w:sz="4" w:space="0"/>
              <w:right w:val="single" w:color="auto" w:sz="4" w:space="0"/>
            </w:tcBorders>
            <w:vAlign w:val="center"/>
          </w:tcPr>
          <w:p w14:paraId="30E869D5">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65--130</w:t>
            </w:r>
          </w:p>
        </w:tc>
        <w:tc>
          <w:tcPr>
            <w:tcW w:w="1418" w:type="dxa"/>
            <w:tcBorders>
              <w:top w:val="single" w:color="auto" w:sz="4" w:space="0"/>
              <w:left w:val="nil"/>
              <w:bottom w:val="single" w:color="auto" w:sz="4" w:space="0"/>
              <w:right w:val="single" w:color="auto" w:sz="4" w:space="0"/>
            </w:tcBorders>
            <w:vAlign w:val="center"/>
          </w:tcPr>
          <w:p w14:paraId="400EC578">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130--200</w:t>
            </w:r>
          </w:p>
        </w:tc>
        <w:tc>
          <w:tcPr>
            <w:tcW w:w="1559" w:type="dxa"/>
            <w:tcBorders>
              <w:top w:val="single" w:color="auto" w:sz="4" w:space="0"/>
              <w:left w:val="nil"/>
              <w:bottom w:val="single" w:color="auto" w:sz="4" w:space="0"/>
              <w:right w:val="single" w:color="auto" w:sz="4" w:space="0"/>
            </w:tcBorders>
            <w:vAlign w:val="center"/>
          </w:tcPr>
          <w:p w14:paraId="77DD4655">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200--400</w:t>
            </w:r>
          </w:p>
        </w:tc>
        <w:tc>
          <w:tcPr>
            <w:tcW w:w="1572" w:type="dxa"/>
            <w:tcBorders>
              <w:top w:val="single" w:color="auto" w:sz="4" w:space="0"/>
              <w:left w:val="nil"/>
              <w:bottom w:val="single" w:color="auto" w:sz="4" w:space="0"/>
              <w:right w:val="single" w:color="auto" w:sz="4" w:space="0"/>
            </w:tcBorders>
            <w:vAlign w:val="center"/>
          </w:tcPr>
          <w:p w14:paraId="47ABF591">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400以上</w:t>
            </w:r>
          </w:p>
        </w:tc>
      </w:tr>
      <w:tr w14:paraId="54B56283">
        <w:tblPrEx>
          <w:tblCellMar>
            <w:top w:w="0" w:type="dxa"/>
            <w:left w:w="108" w:type="dxa"/>
            <w:bottom w:w="0" w:type="dxa"/>
            <w:right w:w="108" w:type="dxa"/>
          </w:tblCellMar>
        </w:tblPrEx>
        <w:trPr>
          <w:trHeight w:val="1260"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14:paraId="15491A1E">
            <w:pPr>
              <w:snapToGrid w:val="0"/>
              <w:spacing w:line="300" w:lineRule="exact"/>
              <w:jc w:val="center"/>
              <w:rPr>
                <w:rFonts w:ascii="仿宋_GB2312" w:hAnsi="宋体" w:eastAsia="仿宋_GB2312"/>
                <w:color w:val="000000"/>
                <w:szCs w:val="21"/>
              </w:rPr>
            </w:pPr>
            <w:r>
              <w:rPr>
                <w:rFonts w:hint="eastAsia" w:ascii="仿宋_GB2312" w:hAnsi="宋体" w:eastAsia="仿宋_GB2312"/>
                <w:color w:val="000000"/>
                <w:szCs w:val="21"/>
              </w:rPr>
              <w:t>代理进口服务费率（百分比）</w:t>
            </w:r>
          </w:p>
        </w:tc>
        <w:tc>
          <w:tcPr>
            <w:tcW w:w="1276" w:type="dxa"/>
            <w:tcBorders>
              <w:top w:val="single" w:color="auto" w:sz="4" w:space="0"/>
              <w:left w:val="single" w:color="auto" w:sz="4" w:space="0"/>
              <w:bottom w:val="single" w:color="auto" w:sz="4" w:space="0"/>
              <w:right w:val="single" w:color="auto" w:sz="4" w:space="0"/>
            </w:tcBorders>
            <w:vAlign w:val="center"/>
          </w:tcPr>
          <w:p w14:paraId="1F927D10">
            <w:pPr>
              <w:snapToGrid w:val="0"/>
              <w:spacing w:line="300" w:lineRule="exact"/>
              <w:jc w:val="center"/>
              <w:rPr>
                <w:rFonts w:ascii="仿宋_GB2312" w:hAnsi="宋体" w:eastAsia="仿宋_GB2312"/>
                <w:color w:val="000000"/>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01F3F6D">
            <w:pPr>
              <w:snapToGrid w:val="0"/>
              <w:spacing w:line="300" w:lineRule="exact"/>
              <w:jc w:val="center"/>
              <w:rPr>
                <w:rFonts w:ascii="仿宋_GB2312" w:hAnsi="宋体" w:eastAsia="仿宋_GB2312"/>
                <w:color w:val="000000"/>
                <w:szCs w:val="21"/>
              </w:rPr>
            </w:pPr>
          </w:p>
        </w:tc>
        <w:tc>
          <w:tcPr>
            <w:tcW w:w="1276" w:type="dxa"/>
            <w:tcBorders>
              <w:top w:val="single" w:color="auto" w:sz="4" w:space="0"/>
              <w:left w:val="nil"/>
              <w:bottom w:val="single" w:color="auto" w:sz="4" w:space="0"/>
              <w:right w:val="single" w:color="auto" w:sz="4" w:space="0"/>
            </w:tcBorders>
            <w:noWrap/>
            <w:vAlign w:val="center"/>
          </w:tcPr>
          <w:p w14:paraId="591766DD">
            <w:pPr>
              <w:snapToGrid w:val="0"/>
              <w:spacing w:line="300" w:lineRule="exact"/>
              <w:jc w:val="center"/>
              <w:rPr>
                <w:rFonts w:ascii="仿宋_GB2312" w:hAnsi="宋体" w:eastAsia="仿宋_GB2312"/>
                <w:color w:val="000000"/>
                <w:szCs w:val="21"/>
              </w:rPr>
            </w:pPr>
          </w:p>
        </w:tc>
        <w:tc>
          <w:tcPr>
            <w:tcW w:w="1418" w:type="dxa"/>
            <w:tcBorders>
              <w:top w:val="single" w:color="auto" w:sz="4" w:space="0"/>
              <w:left w:val="nil"/>
              <w:bottom w:val="single" w:color="auto" w:sz="4" w:space="0"/>
              <w:right w:val="single" w:color="auto" w:sz="4" w:space="0"/>
            </w:tcBorders>
            <w:noWrap/>
            <w:vAlign w:val="center"/>
          </w:tcPr>
          <w:p w14:paraId="15A87F90">
            <w:pPr>
              <w:snapToGrid w:val="0"/>
              <w:spacing w:line="300" w:lineRule="exact"/>
              <w:jc w:val="center"/>
              <w:rPr>
                <w:rFonts w:ascii="仿宋_GB2312" w:hAnsi="宋体" w:eastAsia="仿宋_GB2312"/>
                <w:color w:val="000000"/>
                <w:szCs w:val="21"/>
              </w:rPr>
            </w:pPr>
          </w:p>
        </w:tc>
        <w:tc>
          <w:tcPr>
            <w:tcW w:w="1559" w:type="dxa"/>
            <w:tcBorders>
              <w:top w:val="single" w:color="auto" w:sz="4" w:space="0"/>
              <w:left w:val="nil"/>
              <w:bottom w:val="single" w:color="auto" w:sz="4" w:space="0"/>
              <w:right w:val="single" w:color="auto" w:sz="4" w:space="0"/>
            </w:tcBorders>
            <w:noWrap/>
            <w:vAlign w:val="center"/>
          </w:tcPr>
          <w:p w14:paraId="7E5A1ACF">
            <w:pPr>
              <w:snapToGrid w:val="0"/>
              <w:spacing w:line="300" w:lineRule="exact"/>
              <w:jc w:val="center"/>
              <w:rPr>
                <w:rFonts w:ascii="仿宋_GB2312" w:hAnsi="宋体" w:eastAsia="仿宋_GB2312"/>
                <w:color w:val="000000"/>
                <w:szCs w:val="21"/>
              </w:rPr>
            </w:pPr>
          </w:p>
        </w:tc>
        <w:tc>
          <w:tcPr>
            <w:tcW w:w="1572" w:type="dxa"/>
            <w:tcBorders>
              <w:top w:val="single" w:color="auto" w:sz="4" w:space="0"/>
              <w:left w:val="nil"/>
              <w:bottom w:val="single" w:color="auto" w:sz="4" w:space="0"/>
              <w:right w:val="single" w:color="auto" w:sz="4" w:space="0"/>
            </w:tcBorders>
            <w:noWrap/>
            <w:vAlign w:val="center"/>
          </w:tcPr>
          <w:p w14:paraId="6951611B">
            <w:pPr>
              <w:snapToGrid w:val="0"/>
              <w:spacing w:line="300" w:lineRule="exact"/>
              <w:jc w:val="center"/>
              <w:rPr>
                <w:rFonts w:ascii="仿宋_GB2312" w:hAnsi="宋体" w:eastAsia="仿宋_GB2312"/>
                <w:color w:val="000000"/>
                <w:szCs w:val="21"/>
              </w:rPr>
            </w:pPr>
          </w:p>
        </w:tc>
      </w:tr>
    </w:tbl>
    <w:p w14:paraId="305F6F36">
      <w:pPr>
        <w:snapToGrid w:val="0"/>
        <w:spacing w:line="560" w:lineRule="exact"/>
        <w:ind w:firstLine="470" w:firstLineChars="147"/>
        <w:rPr>
          <w:rFonts w:ascii="仿宋_GB2312" w:hAnsi="宋体" w:eastAsia="仿宋_GB2312"/>
          <w:color w:val="000000"/>
          <w:sz w:val="32"/>
          <w:szCs w:val="32"/>
        </w:rPr>
      </w:pPr>
      <w:r>
        <w:rPr>
          <w:rFonts w:hint="eastAsia" w:ascii="仿宋_GB2312" w:hAnsi="宋体" w:eastAsia="仿宋_GB2312"/>
          <w:color w:val="000000"/>
          <w:sz w:val="32"/>
          <w:szCs w:val="32"/>
        </w:rPr>
        <w:t>备注：代理进口服务费应当包含在投标人所投进口产品货物报价中，投标人应当充分考虑报价。采购人后续不承担任何费用。</w:t>
      </w:r>
    </w:p>
    <w:p w14:paraId="010AED29">
      <w:pPr>
        <w:snapToGrid w:val="0"/>
        <w:spacing w:line="560" w:lineRule="exact"/>
        <w:ind w:firstLine="470" w:firstLineChars="147"/>
        <w:rPr>
          <w:rFonts w:ascii="仿宋_GB2312" w:hAnsi="宋体" w:eastAsia="仿宋_GB2312"/>
          <w:color w:val="000000"/>
          <w:sz w:val="32"/>
          <w:szCs w:val="32"/>
        </w:rPr>
      </w:pPr>
      <w:r>
        <w:rPr>
          <w:rFonts w:hint="eastAsia" w:ascii="仿宋_GB2312" w:hAnsi="宋体" w:eastAsia="仿宋_GB2312"/>
          <w:color w:val="000000"/>
          <w:sz w:val="32"/>
          <w:szCs w:val="32"/>
        </w:rPr>
        <w:t>本合同的外贸代理服务费率为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，外贸代理服务费为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元。</w:t>
      </w:r>
    </w:p>
    <w:p w14:paraId="01D1A8B0">
      <w:pPr>
        <w:snapToGrid w:val="0"/>
        <w:spacing w:line="560" w:lineRule="exact"/>
        <w:ind w:firstLine="411" w:firstLineChars="147"/>
        <w:rPr>
          <w:rFonts w:ascii="仿宋_GB2312" w:hAnsi="宋体" w:eastAsia="仿宋_GB2312"/>
          <w:color w:val="000000"/>
          <w:sz w:val="28"/>
          <w:szCs w:val="28"/>
        </w:rPr>
      </w:pPr>
    </w:p>
    <w:p w14:paraId="18FF14BC">
      <w:pPr>
        <w:snapToGrid w:val="0"/>
        <w:spacing w:line="560" w:lineRule="exact"/>
        <w:ind w:firstLine="411" w:firstLineChars="147"/>
        <w:rPr>
          <w:rFonts w:ascii="仿宋_GB2312" w:hAnsi="宋体" w:eastAsia="仿宋_GB2312"/>
          <w:color w:val="000000"/>
          <w:sz w:val="28"/>
          <w:szCs w:val="28"/>
        </w:rPr>
      </w:pPr>
    </w:p>
    <w:p w14:paraId="7D8B1A90">
      <w:pPr>
        <w:snapToGrid w:val="0"/>
        <w:spacing w:line="560" w:lineRule="exact"/>
        <w:ind w:firstLine="411" w:firstLineChars="147"/>
        <w:rPr>
          <w:rFonts w:ascii="仿宋_GB2312" w:hAnsi="宋体" w:eastAsia="仿宋_GB2312"/>
          <w:color w:val="000000"/>
          <w:sz w:val="28"/>
          <w:szCs w:val="28"/>
        </w:rPr>
      </w:pPr>
    </w:p>
    <w:p w14:paraId="611B55A1">
      <w:pPr>
        <w:snapToGrid w:val="0"/>
        <w:spacing w:line="560" w:lineRule="exact"/>
        <w:ind w:left="4800" w:hanging="4800" w:hangingChars="2000"/>
        <w:rPr>
          <w:rFonts w:ascii="黑体" w:hAnsi="黑体" w:eastAsia="黑体"/>
          <w:bCs/>
          <w:sz w:val="24"/>
          <w:u w:val="single"/>
        </w:rPr>
      </w:pPr>
      <w:r>
        <w:rPr>
          <w:rFonts w:ascii="黑体" w:hAnsi="黑体" w:eastAsia="黑体"/>
          <w:bCs/>
          <w:sz w:val="24"/>
        </w:rPr>
        <w:t>甲方：</w:t>
      </w:r>
      <w:r>
        <w:rPr>
          <w:rFonts w:hint="eastAsia" w:ascii="黑体" w:hAnsi="黑体" w:eastAsia="黑体"/>
          <w:bCs/>
          <w:sz w:val="24"/>
          <w:u w:val="single"/>
        </w:rPr>
        <w:t>海南师范大学</w:t>
      </w:r>
      <w:r>
        <w:rPr>
          <w:rFonts w:ascii="黑体" w:hAnsi="黑体" w:eastAsia="黑体"/>
          <w:bCs/>
          <w:sz w:val="24"/>
          <w:u w:val="single"/>
        </w:rPr>
        <w:t>（公章）</w:t>
      </w:r>
      <w:r>
        <w:rPr>
          <w:rFonts w:hint="eastAsia" w:ascii="黑体" w:hAnsi="黑体" w:eastAsia="黑体"/>
          <w:bCs/>
          <w:sz w:val="24"/>
        </w:rPr>
        <w:t xml:space="preserve">             </w:t>
      </w:r>
      <w:r>
        <w:rPr>
          <w:rFonts w:ascii="黑体" w:hAnsi="黑体" w:eastAsia="黑体"/>
          <w:bCs/>
          <w:sz w:val="24"/>
        </w:rPr>
        <w:t>乙方：</w:t>
      </w:r>
      <w:r>
        <w:rPr>
          <w:rFonts w:hint="eastAsia" w:ascii="黑体" w:hAnsi="黑体" w:eastAsia="黑体"/>
          <w:bCs/>
          <w:sz w:val="24"/>
          <w:u w:val="single"/>
        </w:rPr>
        <w:t xml:space="preserve">              （</w:t>
      </w:r>
      <w:r>
        <w:rPr>
          <w:rFonts w:ascii="黑体" w:hAnsi="黑体" w:eastAsia="黑体"/>
          <w:bCs/>
          <w:sz w:val="24"/>
          <w:u w:val="single"/>
        </w:rPr>
        <w:t>公章）</w:t>
      </w:r>
    </w:p>
    <w:p w14:paraId="4039C530">
      <w:pPr>
        <w:snapToGrid w:val="0"/>
        <w:spacing w:line="560" w:lineRule="exact"/>
        <w:ind w:left="5640" w:hanging="5640" w:hangingChars="2350"/>
        <w:rPr>
          <w:rFonts w:hint="eastAsia" w:ascii="黑体" w:hAnsi="黑体" w:eastAsia="黑体"/>
          <w:sz w:val="24"/>
        </w:rPr>
      </w:pPr>
      <w:r>
        <w:rPr>
          <w:rFonts w:ascii="黑体" w:hAnsi="黑体" w:eastAsia="黑体"/>
          <w:sz w:val="24"/>
        </w:rPr>
        <w:t>法定代表人</w:t>
      </w:r>
      <w:r>
        <w:rPr>
          <w:rFonts w:hint="eastAsia" w:ascii="黑体" w:hAnsi="黑体" w:eastAsia="黑体"/>
          <w:sz w:val="24"/>
        </w:rPr>
        <w:t>或授权代表</w:t>
      </w:r>
      <w:r>
        <w:rPr>
          <w:rFonts w:ascii="黑体" w:hAnsi="黑体" w:eastAsia="黑体"/>
          <w:sz w:val="24"/>
        </w:rPr>
        <w:t>（签字或盖章）：  法定代表人</w:t>
      </w:r>
      <w:r>
        <w:rPr>
          <w:rFonts w:hint="eastAsia" w:ascii="黑体" w:hAnsi="黑体" w:eastAsia="黑体"/>
          <w:sz w:val="24"/>
        </w:rPr>
        <w:t>或授权代表</w:t>
      </w:r>
      <w:r>
        <w:rPr>
          <w:rFonts w:ascii="黑体" w:hAnsi="黑体" w:eastAsia="黑体"/>
          <w:sz w:val="24"/>
        </w:rPr>
        <w:t>（签字或盖章）：</w:t>
      </w:r>
      <w:r>
        <w:rPr>
          <w:rFonts w:hint="eastAsia" w:ascii="黑体" w:hAnsi="黑体" w:eastAsia="黑体"/>
          <w:sz w:val="24"/>
        </w:rPr>
        <w:t xml:space="preserve"> </w:t>
      </w:r>
    </w:p>
    <w:p w14:paraId="6A930432">
      <w:pPr>
        <w:snapToGrid w:val="0"/>
        <w:spacing w:line="560" w:lineRule="exact"/>
        <w:ind w:left="5640" w:hanging="5640" w:hangingChars="2350"/>
        <w:rPr>
          <w:rFonts w:hint="eastAsia" w:ascii="黑体" w:hAnsi="黑体" w:eastAsia="黑体"/>
          <w:sz w:val="24"/>
          <w:lang w:val="en-US" w:eastAsia="zh-CN"/>
        </w:rPr>
      </w:pPr>
      <w:r>
        <w:rPr>
          <w:rFonts w:hint="eastAsia" w:ascii="黑体" w:hAnsi="黑体" w:eastAsia="黑体"/>
          <w:sz w:val="24"/>
          <w:lang w:val="en-US" w:eastAsia="zh-CN"/>
        </w:rPr>
        <w:t>开户银行：                              开户银行：</w:t>
      </w:r>
    </w:p>
    <w:p w14:paraId="4A34B369">
      <w:pPr>
        <w:snapToGrid w:val="0"/>
        <w:spacing w:line="560" w:lineRule="exact"/>
        <w:ind w:left="5640" w:hanging="5640" w:hangingChars="2350"/>
        <w:rPr>
          <w:rFonts w:hint="default" w:ascii="黑体" w:hAnsi="黑体" w:eastAsia="黑体"/>
          <w:sz w:val="24"/>
          <w:lang w:val="en-US" w:eastAsia="zh-CN"/>
        </w:rPr>
      </w:pPr>
      <w:r>
        <w:rPr>
          <w:rFonts w:hint="eastAsia" w:ascii="黑体" w:hAnsi="黑体" w:eastAsia="黑体"/>
          <w:sz w:val="24"/>
          <w:lang w:val="en-US" w:eastAsia="zh-CN"/>
        </w:rPr>
        <w:t>账   号：                               账   号：</w:t>
      </w:r>
    </w:p>
    <w:p w14:paraId="13CDF54D">
      <w:pPr>
        <w:snapToGrid w:val="0"/>
        <w:spacing w:line="560" w:lineRule="exact"/>
        <w:ind w:left="5640" w:hanging="5640" w:hangingChars="2350"/>
        <w:rPr>
          <w:rFonts w:hint="eastAsia" w:ascii="黑体" w:hAnsi="黑体" w:eastAsia="黑体"/>
          <w:sz w:val="24"/>
        </w:rPr>
      </w:pPr>
      <w:r>
        <w:rPr>
          <w:rFonts w:hint="eastAsia" w:ascii="黑体" w:hAnsi="黑体" w:eastAsia="黑体"/>
          <w:sz w:val="24"/>
        </w:rPr>
        <w:t xml:space="preserve">联系电话：   </w:t>
      </w:r>
      <w:r>
        <w:rPr>
          <w:rFonts w:hint="eastAsia" w:ascii="黑体" w:hAnsi="黑体" w:eastAsia="黑体"/>
          <w:sz w:val="24"/>
          <w:lang w:val="en-US" w:eastAsia="zh-CN"/>
        </w:rPr>
        <w:t xml:space="preserve">                           </w:t>
      </w:r>
      <w:r>
        <w:rPr>
          <w:rFonts w:hint="eastAsia" w:ascii="黑体" w:hAnsi="黑体" w:eastAsia="黑体"/>
          <w:sz w:val="24"/>
        </w:rPr>
        <w:t xml:space="preserve">联系电话：                         </w:t>
      </w:r>
    </w:p>
    <w:p w14:paraId="790E62F7">
      <w:pPr>
        <w:snapToGrid w:val="0"/>
        <w:spacing w:line="560" w:lineRule="exact"/>
        <w:rPr>
          <w:rFonts w:ascii="黑体" w:hAnsi="黑体" w:eastAsia="黑体"/>
          <w:sz w:val="24"/>
        </w:rPr>
      </w:pPr>
      <w:r>
        <w:rPr>
          <w:rFonts w:ascii="黑体" w:hAnsi="黑体" w:eastAsia="黑体"/>
          <w:sz w:val="24"/>
        </w:rPr>
        <w:t>签订日期：</w:t>
      </w:r>
      <w:r>
        <w:rPr>
          <w:rFonts w:ascii="黑体" w:hAnsi="黑体" w:eastAsia="黑体"/>
          <w:sz w:val="24"/>
          <w:u w:val="single"/>
        </w:rPr>
        <w:t xml:space="preserve">      </w:t>
      </w:r>
      <w:r>
        <w:rPr>
          <w:rFonts w:ascii="黑体" w:hAnsi="黑体" w:eastAsia="黑体"/>
          <w:sz w:val="24"/>
        </w:rPr>
        <w:t>年</w:t>
      </w:r>
      <w:r>
        <w:rPr>
          <w:rFonts w:ascii="黑体" w:hAnsi="黑体" w:eastAsia="黑体"/>
          <w:sz w:val="24"/>
          <w:u w:val="single"/>
        </w:rPr>
        <w:t xml:space="preserve">    </w:t>
      </w:r>
      <w:r>
        <w:rPr>
          <w:rFonts w:ascii="黑体" w:hAnsi="黑体" w:eastAsia="黑体"/>
          <w:sz w:val="24"/>
        </w:rPr>
        <w:t>月</w:t>
      </w:r>
      <w:r>
        <w:rPr>
          <w:rFonts w:ascii="黑体" w:hAnsi="黑体" w:eastAsia="黑体"/>
          <w:sz w:val="24"/>
          <w:u w:val="single"/>
        </w:rPr>
        <w:t xml:space="preserve">    </w:t>
      </w:r>
      <w:r>
        <w:rPr>
          <w:rFonts w:ascii="黑体" w:hAnsi="黑体" w:eastAsia="黑体"/>
          <w:sz w:val="24"/>
        </w:rPr>
        <w:t>日         签订日期：</w:t>
      </w:r>
      <w:r>
        <w:rPr>
          <w:rFonts w:ascii="黑体" w:hAnsi="黑体" w:eastAsia="黑体"/>
          <w:sz w:val="24"/>
          <w:u w:val="single"/>
        </w:rPr>
        <w:t xml:space="preserve">      </w:t>
      </w:r>
      <w:r>
        <w:rPr>
          <w:rFonts w:ascii="黑体" w:hAnsi="黑体" w:eastAsia="黑体"/>
          <w:sz w:val="24"/>
        </w:rPr>
        <w:t>年</w:t>
      </w:r>
      <w:r>
        <w:rPr>
          <w:rFonts w:ascii="黑体" w:hAnsi="黑体" w:eastAsia="黑体"/>
          <w:sz w:val="24"/>
          <w:u w:val="single"/>
        </w:rPr>
        <w:t xml:space="preserve">    </w:t>
      </w:r>
      <w:r>
        <w:rPr>
          <w:rFonts w:ascii="黑体" w:hAnsi="黑体" w:eastAsia="黑体"/>
          <w:sz w:val="24"/>
        </w:rPr>
        <w:t>月</w:t>
      </w:r>
      <w:r>
        <w:rPr>
          <w:rFonts w:ascii="黑体" w:hAnsi="黑体" w:eastAsia="黑体"/>
          <w:sz w:val="24"/>
          <w:u w:val="single"/>
        </w:rPr>
        <w:t xml:space="preserve">    </w:t>
      </w:r>
      <w:r>
        <w:rPr>
          <w:rFonts w:ascii="黑体" w:hAnsi="黑体" w:eastAsia="黑体"/>
          <w:sz w:val="24"/>
        </w:rPr>
        <w:t>日</w:t>
      </w:r>
    </w:p>
    <w:p w14:paraId="7298B550">
      <w:pPr>
        <w:snapToGrid w:val="0"/>
        <w:spacing w:line="560" w:lineRule="exact"/>
        <w:ind w:left="4800" w:hanging="4800" w:hangingChars="2000"/>
        <w:rPr>
          <w:rFonts w:hint="eastAsia" w:ascii="黑体" w:hAnsi="黑体" w:eastAsia="黑体"/>
          <w:bCs/>
          <w:sz w:val="24"/>
        </w:rPr>
      </w:pPr>
    </w:p>
    <w:p w14:paraId="292C8D35">
      <w:pPr>
        <w:snapToGrid w:val="0"/>
        <w:spacing w:line="560" w:lineRule="exact"/>
        <w:ind w:left="4800" w:hanging="4800" w:hangingChars="2000"/>
        <w:rPr>
          <w:rFonts w:ascii="黑体" w:hAnsi="黑体" w:eastAsia="黑体"/>
          <w:bCs/>
          <w:sz w:val="24"/>
          <w:u w:val="single"/>
        </w:rPr>
      </w:pPr>
      <w:r>
        <w:rPr>
          <w:rFonts w:hint="eastAsia" w:ascii="黑体" w:hAnsi="黑体" w:eastAsia="黑体"/>
          <w:bCs/>
          <w:sz w:val="24"/>
        </w:rPr>
        <w:t>丙</w:t>
      </w:r>
      <w:r>
        <w:rPr>
          <w:rFonts w:ascii="黑体" w:hAnsi="黑体" w:eastAsia="黑体"/>
          <w:bCs/>
          <w:sz w:val="24"/>
        </w:rPr>
        <w:t>方：</w:t>
      </w:r>
      <w:r>
        <w:rPr>
          <w:rFonts w:hint="eastAsia" w:ascii="黑体" w:hAnsi="黑体" w:eastAsia="黑体"/>
          <w:bCs/>
          <w:sz w:val="24"/>
          <w:u w:val="single"/>
        </w:rPr>
        <w:t xml:space="preserve">              （</w:t>
      </w:r>
      <w:r>
        <w:rPr>
          <w:rFonts w:ascii="黑体" w:hAnsi="黑体" w:eastAsia="黑体"/>
          <w:bCs/>
          <w:sz w:val="24"/>
          <w:u w:val="single"/>
        </w:rPr>
        <w:t>公章）</w:t>
      </w:r>
    </w:p>
    <w:p w14:paraId="425750DB">
      <w:pPr>
        <w:snapToGrid w:val="0"/>
        <w:spacing w:line="560" w:lineRule="exact"/>
        <w:ind w:left="5640" w:hanging="5640" w:hangingChars="2350"/>
        <w:rPr>
          <w:rFonts w:ascii="黑体" w:hAnsi="黑体" w:eastAsia="黑体"/>
          <w:sz w:val="24"/>
        </w:rPr>
      </w:pPr>
      <w:r>
        <w:rPr>
          <w:rFonts w:ascii="黑体" w:hAnsi="黑体" w:eastAsia="黑体"/>
          <w:sz w:val="24"/>
        </w:rPr>
        <w:t>法定代表人</w:t>
      </w:r>
      <w:r>
        <w:rPr>
          <w:rFonts w:hint="eastAsia" w:ascii="黑体" w:hAnsi="黑体" w:eastAsia="黑体"/>
          <w:sz w:val="24"/>
        </w:rPr>
        <w:t>或被授权代表</w:t>
      </w:r>
      <w:r>
        <w:rPr>
          <w:rFonts w:ascii="黑体" w:hAnsi="黑体" w:eastAsia="黑体"/>
          <w:sz w:val="24"/>
        </w:rPr>
        <w:t xml:space="preserve">（签字或盖章）： </w:t>
      </w:r>
    </w:p>
    <w:p w14:paraId="67C06D44">
      <w:pPr>
        <w:snapToGrid w:val="0"/>
        <w:spacing w:line="560" w:lineRule="exact"/>
        <w:ind w:left="5640" w:hanging="5640" w:hangingChars="2350"/>
        <w:rPr>
          <w:rFonts w:hint="eastAsia" w:ascii="黑体" w:hAnsi="黑体" w:eastAsia="黑体"/>
          <w:sz w:val="24"/>
          <w:lang w:val="en-US" w:eastAsia="zh-CN"/>
        </w:rPr>
      </w:pPr>
      <w:r>
        <w:rPr>
          <w:rFonts w:hint="eastAsia" w:ascii="黑体" w:hAnsi="黑体" w:eastAsia="黑体"/>
          <w:sz w:val="24"/>
          <w:lang w:val="en-US" w:eastAsia="zh-CN"/>
        </w:rPr>
        <w:t>开户银行：</w:t>
      </w:r>
    </w:p>
    <w:p w14:paraId="3A3A19EB">
      <w:pPr>
        <w:snapToGrid w:val="0"/>
        <w:spacing w:line="560" w:lineRule="exact"/>
        <w:ind w:left="5640" w:hanging="5640" w:hangingChars="2350"/>
        <w:rPr>
          <w:rFonts w:hint="default" w:ascii="黑体" w:hAnsi="黑体" w:eastAsia="黑体"/>
          <w:sz w:val="24"/>
          <w:lang w:val="en-US" w:eastAsia="zh-CN"/>
        </w:rPr>
      </w:pPr>
      <w:r>
        <w:rPr>
          <w:rFonts w:hint="eastAsia" w:ascii="黑体" w:hAnsi="黑体" w:eastAsia="黑体"/>
          <w:sz w:val="24"/>
          <w:lang w:val="en-US" w:eastAsia="zh-CN"/>
        </w:rPr>
        <w:t>账   号：</w:t>
      </w:r>
    </w:p>
    <w:p w14:paraId="5141F484">
      <w:pPr>
        <w:snapToGrid w:val="0"/>
        <w:spacing w:line="560" w:lineRule="exact"/>
        <w:ind w:left="5640" w:hanging="5640" w:hangingChars="2350"/>
        <w:rPr>
          <w:rFonts w:ascii="黑体" w:hAnsi="黑体" w:eastAsia="黑体"/>
          <w:sz w:val="24"/>
        </w:rPr>
      </w:pPr>
      <w:r>
        <w:rPr>
          <w:rFonts w:hint="eastAsia" w:ascii="黑体" w:hAnsi="黑体" w:eastAsia="黑体"/>
          <w:sz w:val="24"/>
        </w:rPr>
        <w:t xml:space="preserve">联系电话： </w:t>
      </w:r>
    </w:p>
    <w:p w14:paraId="00F66282">
      <w:pPr>
        <w:snapToGrid w:val="0"/>
        <w:spacing w:line="560" w:lineRule="exact"/>
        <w:rPr>
          <w:rFonts w:ascii="黑体" w:hAnsi="黑体" w:eastAsia="黑体"/>
          <w:sz w:val="24"/>
        </w:rPr>
      </w:pPr>
      <w:r>
        <w:rPr>
          <w:rFonts w:ascii="黑体" w:hAnsi="黑体" w:eastAsia="黑体"/>
          <w:sz w:val="24"/>
        </w:rPr>
        <w:t>签订日期：</w:t>
      </w:r>
      <w:r>
        <w:rPr>
          <w:rFonts w:ascii="黑体" w:hAnsi="黑体" w:eastAsia="黑体"/>
          <w:sz w:val="24"/>
          <w:u w:val="single"/>
        </w:rPr>
        <w:t xml:space="preserve">      </w:t>
      </w:r>
      <w:r>
        <w:rPr>
          <w:rFonts w:ascii="黑体" w:hAnsi="黑体" w:eastAsia="黑体"/>
          <w:sz w:val="24"/>
        </w:rPr>
        <w:t>年</w:t>
      </w:r>
      <w:r>
        <w:rPr>
          <w:rFonts w:ascii="黑体" w:hAnsi="黑体" w:eastAsia="黑体"/>
          <w:sz w:val="24"/>
          <w:u w:val="single"/>
        </w:rPr>
        <w:t xml:space="preserve">    </w:t>
      </w:r>
      <w:r>
        <w:rPr>
          <w:rFonts w:ascii="黑体" w:hAnsi="黑体" w:eastAsia="黑体"/>
          <w:sz w:val="24"/>
        </w:rPr>
        <w:t>月</w:t>
      </w:r>
      <w:r>
        <w:rPr>
          <w:rFonts w:ascii="黑体" w:hAnsi="黑体" w:eastAsia="黑体"/>
          <w:sz w:val="24"/>
          <w:u w:val="single"/>
        </w:rPr>
        <w:t xml:space="preserve">    </w:t>
      </w:r>
      <w:r>
        <w:rPr>
          <w:rFonts w:ascii="黑体" w:hAnsi="黑体" w:eastAsia="黑体"/>
          <w:sz w:val="24"/>
        </w:rPr>
        <w:t>日</w:t>
      </w:r>
    </w:p>
    <w:p w14:paraId="78636FDB">
      <w:pPr>
        <w:snapToGrid w:val="0"/>
        <w:spacing w:line="560" w:lineRule="exact"/>
        <w:ind w:firstLine="470" w:firstLineChars="196"/>
        <w:rPr>
          <w:rFonts w:hint="eastAsia" w:ascii="黑体" w:hAnsi="黑体" w:eastAsia="黑体"/>
          <w:bCs/>
          <w:sz w:val="24"/>
          <w:u w:val="single"/>
        </w:rPr>
      </w:pPr>
    </w:p>
    <w:p w14:paraId="23CE73B2">
      <w:pPr>
        <w:snapToGrid w:val="0"/>
        <w:spacing w:line="560" w:lineRule="exact"/>
        <w:ind w:firstLine="470" w:firstLineChars="196"/>
        <w:rPr>
          <w:rFonts w:ascii="黑体" w:hAnsi="黑体" w:eastAsia="黑体"/>
          <w:bCs/>
          <w:sz w:val="24"/>
          <w:u w:val="single"/>
        </w:rPr>
      </w:pPr>
      <w:r>
        <w:rPr>
          <w:rFonts w:hint="eastAsia" w:ascii="黑体" w:hAnsi="黑体" w:eastAsia="黑体"/>
          <w:bCs/>
          <w:sz w:val="24"/>
          <w:u w:val="single"/>
        </w:rPr>
        <w:t>招标代理机构声明：本合同标的经                （代理机构）依法定程序采购，合同主要条款内容与响应文件的内容一致。</w:t>
      </w:r>
    </w:p>
    <w:p w14:paraId="24E239BD">
      <w:pPr>
        <w:snapToGrid w:val="0"/>
        <w:spacing w:line="560" w:lineRule="exact"/>
        <w:rPr>
          <w:rFonts w:ascii="黑体" w:hAnsi="黑体" w:eastAsia="黑体"/>
          <w:bCs/>
          <w:sz w:val="24"/>
          <w:u w:val="single"/>
        </w:rPr>
      </w:pPr>
      <w:r>
        <w:rPr>
          <w:rFonts w:hint="eastAsia" w:ascii="黑体" w:hAnsi="黑体" w:eastAsia="黑体"/>
          <w:bCs/>
          <w:sz w:val="24"/>
        </w:rPr>
        <w:t>招标代理机构：</w:t>
      </w:r>
      <w:r>
        <w:rPr>
          <w:rFonts w:hint="eastAsia" w:ascii="黑体" w:hAnsi="黑体" w:eastAsia="黑体"/>
          <w:bCs/>
          <w:sz w:val="24"/>
          <w:u w:val="single"/>
        </w:rPr>
        <w:t xml:space="preserve">                  （公章）</w:t>
      </w:r>
    </w:p>
    <w:p w14:paraId="30629C88">
      <w:pPr>
        <w:snapToGrid w:val="0"/>
        <w:spacing w:line="560" w:lineRule="exact"/>
        <w:rPr>
          <w:rFonts w:hint="eastAsia" w:ascii="黑体" w:hAnsi="黑体" w:eastAsia="黑体"/>
          <w:bCs/>
          <w:sz w:val="24"/>
          <w:u w:val="single"/>
        </w:rPr>
      </w:pPr>
      <w:r>
        <w:rPr>
          <w:rFonts w:ascii="黑体" w:hAnsi="黑体" w:eastAsia="黑体"/>
          <w:sz w:val="24"/>
        </w:rPr>
        <w:t>法定代表人（签字或盖章）：</w:t>
      </w:r>
    </w:p>
    <w:p w14:paraId="28638BA6">
      <w:pPr>
        <w:snapToGrid w:val="0"/>
        <w:spacing w:line="560" w:lineRule="exact"/>
        <w:rPr>
          <w:rFonts w:hint="eastAsia" w:ascii="宋体" w:hAnsi="宋体"/>
          <w:b/>
          <w:color w:val="000000"/>
          <w:sz w:val="24"/>
        </w:rPr>
      </w:pPr>
      <w:r>
        <w:rPr>
          <w:rFonts w:ascii="黑体" w:hAnsi="黑体" w:eastAsia="黑体"/>
          <w:sz w:val="24"/>
        </w:rPr>
        <w:t>签订日期：</w:t>
      </w:r>
      <w:r>
        <w:rPr>
          <w:rFonts w:ascii="黑体" w:hAnsi="黑体" w:eastAsia="黑体"/>
          <w:sz w:val="24"/>
          <w:u w:val="single"/>
        </w:rPr>
        <w:t xml:space="preserve">     </w:t>
      </w:r>
      <w:r>
        <w:rPr>
          <w:rFonts w:ascii="黑体" w:hAnsi="黑体" w:eastAsia="黑体"/>
          <w:sz w:val="24"/>
        </w:rPr>
        <w:t>年</w:t>
      </w:r>
      <w:r>
        <w:rPr>
          <w:rFonts w:ascii="黑体" w:hAnsi="黑体" w:eastAsia="黑体"/>
          <w:sz w:val="24"/>
          <w:u w:val="single"/>
        </w:rPr>
        <w:t xml:space="preserve">   </w:t>
      </w:r>
      <w:r>
        <w:rPr>
          <w:rFonts w:hint="eastAsia" w:ascii="黑体" w:hAnsi="黑体" w:eastAsia="黑体"/>
          <w:sz w:val="24"/>
          <w:u w:val="single"/>
        </w:rPr>
        <w:t xml:space="preserve"> </w:t>
      </w:r>
      <w:r>
        <w:rPr>
          <w:rFonts w:ascii="黑体" w:hAnsi="黑体" w:eastAsia="黑体"/>
          <w:sz w:val="24"/>
          <w:u w:val="single"/>
        </w:rPr>
        <w:t xml:space="preserve"> </w:t>
      </w:r>
      <w:r>
        <w:rPr>
          <w:rFonts w:ascii="黑体" w:hAnsi="黑体" w:eastAsia="黑体"/>
          <w:sz w:val="24"/>
        </w:rPr>
        <w:t>月</w:t>
      </w:r>
      <w:r>
        <w:rPr>
          <w:rFonts w:ascii="黑体" w:hAnsi="黑体" w:eastAsia="黑体"/>
          <w:sz w:val="24"/>
          <w:u w:val="single"/>
        </w:rPr>
        <w:t xml:space="preserve"> </w:t>
      </w:r>
      <w:r>
        <w:rPr>
          <w:rFonts w:hint="eastAsia" w:ascii="黑体" w:hAnsi="黑体" w:eastAsia="黑体"/>
          <w:sz w:val="24"/>
          <w:u w:val="single"/>
        </w:rPr>
        <w:t xml:space="preserve"> </w:t>
      </w:r>
      <w:r>
        <w:rPr>
          <w:rFonts w:ascii="黑体" w:hAnsi="黑体" w:eastAsia="黑体"/>
          <w:sz w:val="24"/>
          <w:u w:val="single"/>
        </w:rPr>
        <w:t xml:space="preserve">   </w:t>
      </w:r>
      <w:r>
        <w:rPr>
          <w:rFonts w:ascii="黑体" w:hAnsi="黑体" w:eastAsia="黑体"/>
          <w:sz w:val="24"/>
        </w:rPr>
        <w:t>日</w:t>
      </w:r>
    </w:p>
    <w:p w14:paraId="386A533F">
      <w:pPr>
        <w:spacing w:line="560" w:lineRule="exact"/>
        <w:rPr>
          <w:rFonts w:hint="eastAsia" w:ascii="黑体" w:hAnsi="黑体" w:eastAsia="黑体"/>
          <w:sz w:val="24"/>
          <w:u w:val="single"/>
        </w:rPr>
      </w:pPr>
      <w:r>
        <w:rPr>
          <w:rFonts w:hint="eastAsia" w:ascii="黑体" w:hAnsi="黑体" w:eastAsia="黑体"/>
          <w:sz w:val="24"/>
        </w:rPr>
        <w:t>合同签订地：</w:t>
      </w:r>
      <w:r>
        <w:rPr>
          <w:rFonts w:hint="eastAsia" w:ascii="黑体" w:hAnsi="黑体" w:eastAsia="黑体"/>
          <w:sz w:val="24"/>
          <w:u w:val="single"/>
        </w:rPr>
        <w:t xml:space="preserve">   海南省海口市   </w:t>
      </w:r>
    </w:p>
    <w:p w14:paraId="342EE0CC">
      <w:pPr>
        <w:spacing w:line="560" w:lineRule="exact"/>
        <w:rPr>
          <w:rFonts w:ascii="黑体" w:hAnsi="黑体" w:eastAsia="黑体"/>
          <w:sz w:val="24"/>
          <w:u w:val="single"/>
        </w:rPr>
      </w:pPr>
      <w:r>
        <w:rPr>
          <w:rFonts w:hint="eastAsia" w:ascii="黑体" w:hAnsi="黑体" w:eastAsia="黑体"/>
          <w:sz w:val="24"/>
        </w:rPr>
        <w:t>合同签订地：</w:t>
      </w:r>
      <w:r>
        <w:rPr>
          <w:rFonts w:hint="eastAsia" w:ascii="黑体" w:hAnsi="黑体" w:eastAsia="黑体"/>
          <w:sz w:val="24"/>
          <w:u w:val="single"/>
        </w:rPr>
        <w:t xml:space="preserve">   海南省海口市   </w:t>
      </w:r>
    </w:p>
    <w:p w14:paraId="0CE017C3"/>
    <w:sectPr>
      <w:pgSz w:w="11906" w:h="16838"/>
      <w:pgMar w:top="1134" w:right="1134" w:bottom="1134" w:left="1134" w:header="851" w:footer="992" w:gutter="0"/>
      <w:cols w:space="720"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D2F4">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7C6F5ACE">
    <w:pPr>
      <w:pStyle w:val="3"/>
      <w:ind w:firstLine="150" w:firstLineChars="100"/>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331A">
    <w:pPr>
      <w:pStyle w:val="3"/>
      <w:framePr w:wrap="around" w:vAnchor="text" w:hAnchor="margin" w:xAlign="center" w:y="1"/>
      <w:rPr>
        <w:rStyle w:val="9"/>
      </w:rPr>
    </w:pPr>
    <w:r>
      <w:fldChar w:fldCharType="begin"/>
    </w:r>
    <w:r>
      <w:rPr>
        <w:rStyle w:val="9"/>
      </w:rPr>
      <w:instrText xml:space="preserve">PAGE  </w:instrText>
    </w:r>
    <w:r>
      <w:fldChar w:fldCharType="end"/>
    </w:r>
  </w:p>
  <w:p w14:paraId="6D6F3FB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946E">
    <w:pPr>
      <w:pStyle w:val="3"/>
      <w:ind w:firstLine="7275" w:firstLineChars="4850"/>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7872">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736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B90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0310"/>
    <w:rsid w:val="000A2F77"/>
    <w:rsid w:val="001C1664"/>
    <w:rsid w:val="00204F08"/>
    <w:rsid w:val="002675D5"/>
    <w:rsid w:val="003F795D"/>
    <w:rsid w:val="00447497"/>
    <w:rsid w:val="004B509C"/>
    <w:rsid w:val="004C3B55"/>
    <w:rsid w:val="00593AAE"/>
    <w:rsid w:val="005D3171"/>
    <w:rsid w:val="00672F98"/>
    <w:rsid w:val="006905AF"/>
    <w:rsid w:val="006B5BB2"/>
    <w:rsid w:val="007202A3"/>
    <w:rsid w:val="00786DB0"/>
    <w:rsid w:val="007F2057"/>
    <w:rsid w:val="008632B6"/>
    <w:rsid w:val="00896305"/>
    <w:rsid w:val="00AD1D2D"/>
    <w:rsid w:val="00AE5175"/>
    <w:rsid w:val="00B0255E"/>
    <w:rsid w:val="00B0260B"/>
    <w:rsid w:val="00B12C95"/>
    <w:rsid w:val="00B53588"/>
    <w:rsid w:val="00BC5C84"/>
    <w:rsid w:val="00CB4E74"/>
    <w:rsid w:val="00DF06B5"/>
    <w:rsid w:val="00E10310"/>
    <w:rsid w:val="00EB36FA"/>
    <w:rsid w:val="00ED1381"/>
    <w:rsid w:val="00F14982"/>
    <w:rsid w:val="00F86824"/>
    <w:rsid w:val="00FE7CF8"/>
    <w:rsid w:val="01185B7C"/>
    <w:rsid w:val="07E32B27"/>
    <w:rsid w:val="0A1A4CF6"/>
    <w:rsid w:val="0EED51CE"/>
    <w:rsid w:val="0F825E34"/>
    <w:rsid w:val="1836471D"/>
    <w:rsid w:val="1FB43DE7"/>
    <w:rsid w:val="29003BF9"/>
    <w:rsid w:val="2CA451E4"/>
    <w:rsid w:val="2D6D1A79"/>
    <w:rsid w:val="2EDC1E71"/>
    <w:rsid w:val="3A810912"/>
    <w:rsid w:val="3C455B7B"/>
    <w:rsid w:val="3DA415E1"/>
    <w:rsid w:val="47424C98"/>
    <w:rsid w:val="52A770BC"/>
    <w:rsid w:val="57BD6FD6"/>
    <w:rsid w:val="5A2027B5"/>
    <w:rsid w:val="5DF43025"/>
    <w:rsid w:val="64575F95"/>
    <w:rsid w:val="67DC5EE8"/>
    <w:rsid w:val="69AD0B99"/>
    <w:rsid w:val="7D2E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oc 1"/>
    <w:basedOn w:val="1"/>
    <w:next w:val="1"/>
    <w:autoRedefine/>
    <w:semiHidden/>
    <w:unhideWhenUsed/>
    <w:qFormat/>
    <w:uiPriority w:val="39"/>
  </w:style>
  <w:style w:type="paragraph" w:styleId="6">
    <w:name w:val="Normal (Web)"/>
    <w:basedOn w:val="1"/>
    <w:next w:val="5"/>
    <w:link w:val="10"/>
    <w:qFormat/>
    <w:uiPriority w:val="0"/>
    <w:pPr>
      <w:widowControl/>
      <w:spacing w:before="100" w:beforeAutospacing="1" w:after="100" w:afterAutospacing="1"/>
      <w:jc w:val="left"/>
    </w:pPr>
    <w:rPr>
      <w:rFonts w:ascii="宋体" w:hAnsi="宋体" w:eastAsiaTheme="minorEastAsia" w:cstheme="minorBidi"/>
      <w:sz w:val="24"/>
    </w:rPr>
  </w:style>
  <w:style w:type="character" w:styleId="9">
    <w:name w:val="page number"/>
    <w:basedOn w:val="8"/>
    <w:qFormat/>
    <w:uiPriority w:val="0"/>
  </w:style>
  <w:style w:type="character" w:customStyle="1" w:styleId="10">
    <w:name w:val="普通(网站) Char"/>
    <w:link w:val="6"/>
    <w:qFormat/>
    <w:uiPriority w:val="0"/>
    <w:rPr>
      <w:rFonts w:ascii="宋体" w:hAnsi="宋体"/>
      <w:sz w:val="24"/>
      <w:szCs w:val="24"/>
    </w:rPr>
  </w:style>
  <w:style w:type="character" w:customStyle="1" w:styleId="11">
    <w:name w:val="页眉 Char"/>
    <w:basedOn w:val="8"/>
    <w:link w:val="4"/>
    <w:qFormat/>
    <w:uiPriority w:val="99"/>
    <w:rPr>
      <w:sz w:val="18"/>
      <w:szCs w:val="18"/>
    </w:rPr>
  </w:style>
  <w:style w:type="character" w:customStyle="1" w:styleId="12">
    <w:name w:val="页眉 Char1"/>
    <w:basedOn w:val="8"/>
    <w:link w:val="4"/>
    <w:semiHidden/>
    <w:qFormat/>
    <w:uiPriority w:val="99"/>
    <w:rPr>
      <w:rFonts w:ascii="Times New Roman" w:hAnsi="Times New Roman" w:eastAsia="宋体" w:cs="Times New Roman"/>
      <w:sz w:val="18"/>
      <w:szCs w:val="18"/>
    </w:rPr>
  </w:style>
  <w:style w:type="character" w:customStyle="1" w:styleId="13">
    <w:name w:val="页脚 Char"/>
    <w:basedOn w:val="8"/>
    <w:link w:val="3"/>
    <w:qFormat/>
    <w:uiPriority w:val="0"/>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3533</Words>
  <Characters>3585</Characters>
  <Lines>28</Lines>
  <Paragraphs>8</Paragraphs>
  <TotalTime>2</TotalTime>
  <ScaleCrop>false</ScaleCrop>
  <LinksUpToDate>false</LinksUpToDate>
  <CharactersWithSpaces>4085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2024-10-14T09:22:00Z</dcterms:created>
  <dc:creator>Huawei</dc:creator>
  <cp:lastModifiedBy>海阔天空</cp:lastModifiedBy>
  <dcterms:modified xsi:type="dcterms:W3CDTF">2025-10-31T01:33:59Z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eyJoZGlkIjoiZjNjMzM1YTg0N2I0YmNlZWU1NWRhOTYwYzIxNjU0MjciLCJ1c2VySWQiOiIyOTQ4NTI4MjAifQ==</vt:lpwstr>
  </property>
  <property fmtid="{D5CDD505-2E9C-101B-9397-08002B2CF9AE}" pid="3" name="KSOProductBuildVer">
    <vt:lpwstr>2052-12.1.0.23125</vt:lpwstr>
  </property>
  <property fmtid="{D5CDD505-2E9C-101B-9397-08002B2CF9AE}" pid="4" name="ICV">
    <vt:lpwstr>48FE9964134C444E999A63EE9BBD114B_12</vt:lpwstr>
  </property>
</Properties>
</file>